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B4AE3" w14:textId="77777777" w:rsidR="00977B82" w:rsidRDefault="00CE696C">
      <w:pPr>
        <w:jc w:val="center"/>
        <w:rPr>
          <w:rFonts w:eastAsia="MS Mincho"/>
          <w:b/>
          <w:u w:val="single"/>
        </w:rPr>
      </w:pPr>
      <w:r>
        <w:rPr>
          <w:rFonts w:eastAsia="MS Mincho"/>
          <w:b/>
          <w:u w:val="single"/>
        </w:rPr>
        <w:t>January 4, 2021</w:t>
      </w:r>
    </w:p>
    <w:p w14:paraId="7FD49EBC" w14:textId="77777777" w:rsidR="00977B82" w:rsidRDefault="00977B82">
      <w:pPr>
        <w:jc w:val="center"/>
        <w:rPr>
          <w:rFonts w:eastAsia="MS Mincho"/>
          <w:b/>
          <w:u w:val="single"/>
        </w:rPr>
      </w:pPr>
    </w:p>
    <w:p w14:paraId="1ADA7BF3" w14:textId="77777777" w:rsidR="00977B82" w:rsidRDefault="00CE696C">
      <w:pPr>
        <w:jc w:val="center"/>
        <w:rPr>
          <w:b/>
          <w:u w:val="single"/>
        </w:rPr>
      </w:pPr>
      <w:r>
        <w:rPr>
          <w:b/>
          <w:u w:val="single"/>
        </w:rPr>
        <w:t>Information Note and Sign-Up Commitment CTACSub2 Review Period</w:t>
      </w:r>
    </w:p>
    <w:p w14:paraId="4AD1D140" w14:textId="77777777" w:rsidR="00977B82" w:rsidRDefault="00977B82"/>
    <w:p w14:paraId="6E555206" w14:textId="77777777" w:rsidR="00977B82" w:rsidRDefault="00CE696C">
      <w:pPr>
        <w:rPr>
          <w:b/>
          <w:u w:val="single"/>
        </w:rPr>
      </w:pPr>
      <w:r>
        <w:rPr>
          <w:b/>
          <w:u w:val="single"/>
        </w:rPr>
        <w:t>Information - Background</w:t>
      </w:r>
    </w:p>
    <w:p w14:paraId="5A389ED9" w14:textId="77777777" w:rsidR="00977B82" w:rsidRDefault="00977B82"/>
    <w:p w14:paraId="4932CF9C" w14:textId="77777777" w:rsidR="00977B82" w:rsidRDefault="00CE696C">
      <w:r>
        <w:t xml:space="preserve">The CTACSub Consortium has received REACH authorization for its Members and Downstream Users (‘DU’) for certain use of </w:t>
      </w:r>
      <w:r>
        <w:t>Chromium trioxide (chromic acid).</w:t>
      </w:r>
      <w:r>
        <w:rPr>
          <w:rStyle w:val="Voetnootmarkering"/>
        </w:rPr>
        <w:footnoteReference w:id="1"/>
      </w:r>
      <w:r>
        <w:t xml:space="preserve">  The review periods for these uses will end on September 21, 2024.</w:t>
      </w:r>
    </w:p>
    <w:p w14:paraId="3D537946" w14:textId="77777777" w:rsidR="00977B82" w:rsidRDefault="00977B82"/>
    <w:p w14:paraId="466057F5" w14:textId="77777777" w:rsidR="00977B82" w:rsidRDefault="00CE696C">
      <w:r>
        <w:t xml:space="preserve">According to Article 2 (4) of the CTACSub Consortium Agreement: </w:t>
      </w:r>
    </w:p>
    <w:p w14:paraId="791B308F" w14:textId="77777777" w:rsidR="00977B82" w:rsidRDefault="00CE696C">
      <w:pPr>
        <w:pStyle w:val="Citaat"/>
        <w:jc w:val="both"/>
      </w:pPr>
      <w:r>
        <w:t>“The cooperation shall continue beyond the date of the authorization decisions pursuant</w:t>
      </w:r>
      <w:r>
        <w:t xml:space="preserve"> to Article 64(8) REACH so as to be able to cooperate in case the authorization decisions set review dates. However, any cooperation of the Members for review of authorizations shall be subject to a Decision of the Steering Committee involving those Member</w:t>
      </w:r>
      <w:r>
        <w:t>s interested in such continued cooperation. Any such Decision shall not have an effect on the other Members and these other Members shall not participate in cost sharing under the cost sharing rules of this Agreement.”</w:t>
      </w:r>
    </w:p>
    <w:p w14:paraId="2322E6FF" w14:textId="77777777" w:rsidR="00977B82" w:rsidRDefault="00977B82">
      <w:pPr>
        <w:rPr>
          <w:i/>
        </w:rPr>
      </w:pPr>
    </w:p>
    <w:p w14:paraId="0D0480A8" w14:textId="77777777" w:rsidR="00977B82" w:rsidRDefault="00CE696C">
      <w:r>
        <w:t xml:space="preserve">Five Members of the </w:t>
      </w:r>
      <w:proofErr w:type="spellStart"/>
      <w:r>
        <w:t>CTACSub</w:t>
      </w:r>
      <w:proofErr w:type="spellEnd"/>
      <w:r>
        <w:t xml:space="preserve"> Consorti</w:t>
      </w:r>
      <w:r>
        <w:t>um (so-called ‘CTACSub2’)</w:t>
      </w:r>
      <w:r>
        <w:rPr>
          <w:rStyle w:val="Voetnootmarkering"/>
        </w:rPr>
        <w:footnoteReference w:id="2"/>
      </w:r>
      <w:r>
        <w:t xml:space="preserve"> and </w:t>
      </w:r>
      <w:proofErr w:type="spellStart"/>
      <w:r>
        <w:t>ReachLaw</w:t>
      </w:r>
      <w:proofErr w:type="spellEnd"/>
      <w:r>
        <w:t xml:space="preserve"> Ltd. (as Only Representative for JSC NPCC)</w:t>
      </w:r>
      <w:r>
        <w:rPr>
          <w:rStyle w:val="Voetnootmarkering"/>
        </w:rPr>
        <w:footnoteReference w:id="3"/>
      </w:r>
      <w:r>
        <w:t xml:space="preserve"> have agreed in principle to continue to work together and to file a Review report at the latest 18 months before the end of the review period, hence by March 20, 2023 lat</w:t>
      </w:r>
      <w:r>
        <w:t xml:space="preserve">est.  </w:t>
      </w:r>
    </w:p>
    <w:p w14:paraId="00C87378" w14:textId="77777777" w:rsidR="00977B82" w:rsidRDefault="00977B82"/>
    <w:p w14:paraId="25026C2E" w14:textId="77777777" w:rsidR="00977B82" w:rsidRDefault="00CE696C">
      <w:r>
        <w:t>If granted, such a continued so-called upstream authorization will provide flexibility for OEMs in choosing their part suppliers, allow for market newcomers, create financial and organizational efficiencies, and not least permit SMEs to benefit from the ex</w:t>
      </w:r>
      <w:r>
        <w:t>perience of the upstream suppliers in a situation where obtaining REACH authorization will become ever more complicated.  Indeed, as shown in the cost comparison below, continued upstream authorization will cost less than for DUs to have their own authoriz</w:t>
      </w:r>
      <w:r>
        <w:t>ation.</w:t>
      </w:r>
    </w:p>
    <w:p w14:paraId="68FCF348" w14:textId="77777777" w:rsidR="00977B82" w:rsidRDefault="00977B82"/>
    <w:p w14:paraId="4B0DFCF1" w14:textId="77777777" w:rsidR="00977B82" w:rsidRDefault="00CE696C">
      <w:pPr>
        <w:rPr>
          <w:szCs w:val="22"/>
          <w:u w:val="single"/>
        </w:rPr>
      </w:pPr>
      <w:r>
        <w:rPr>
          <w:szCs w:val="22"/>
          <w:u w:val="single"/>
        </w:rPr>
        <w:t>Cost Comparison</w:t>
      </w:r>
    </w:p>
    <w:p w14:paraId="72AD7B5F" w14:textId="77777777" w:rsidR="00977B82" w:rsidRDefault="00977B82"/>
    <w:tbl>
      <w:tblPr>
        <w:tblStyle w:val="Tabelraster"/>
        <w:tblW w:w="0" w:type="auto"/>
        <w:tblLook w:val="04A0" w:firstRow="1" w:lastRow="0" w:firstColumn="1" w:lastColumn="0" w:noHBand="0" w:noVBand="1"/>
      </w:tblPr>
      <w:tblGrid>
        <w:gridCol w:w="2265"/>
        <w:gridCol w:w="2265"/>
        <w:gridCol w:w="2265"/>
        <w:gridCol w:w="2266"/>
      </w:tblGrid>
      <w:tr w:rsidR="00977B82" w14:paraId="6C90CCBE" w14:textId="77777777">
        <w:tc>
          <w:tcPr>
            <w:tcW w:w="2265" w:type="dxa"/>
          </w:tcPr>
          <w:p w14:paraId="0462D2D8" w14:textId="77777777" w:rsidR="00977B82" w:rsidRDefault="00977B82">
            <w:pPr>
              <w:rPr>
                <w:sz w:val="20"/>
              </w:rPr>
            </w:pPr>
          </w:p>
        </w:tc>
        <w:tc>
          <w:tcPr>
            <w:tcW w:w="2265" w:type="dxa"/>
          </w:tcPr>
          <w:p w14:paraId="5E3F4829" w14:textId="77777777" w:rsidR="00977B82" w:rsidRDefault="00CE696C">
            <w:pPr>
              <w:rPr>
                <w:sz w:val="20"/>
              </w:rPr>
            </w:pPr>
            <w:r>
              <w:rPr>
                <w:sz w:val="20"/>
              </w:rPr>
              <w:t>Small company</w:t>
            </w:r>
          </w:p>
          <w:p w14:paraId="3CC046BA" w14:textId="77777777" w:rsidR="00977B82" w:rsidRDefault="00CE696C">
            <w:pPr>
              <w:rPr>
                <w:sz w:val="20"/>
              </w:rPr>
            </w:pPr>
            <w:r>
              <w:rPr>
                <w:color w:val="FF0000"/>
                <w:sz w:val="20"/>
              </w:rPr>
              <w:t xml:space="preserve">(individual </w:t>
            </w:r>
            <w:proofErr w:type="spellStart"/>
            <w:r>
              <w:rPr>
                <w:color w:val="FF0000"/>
                <w:sz w:val="20"/>
              </w:rPr>
              <w:t>AfA</w:t>
            </w:r>
            <w:proofErr w:type="spellEnd"/>
            <w:r>
              <w:rPr>
                <w:color w:val="FF0000"/>
                <w:sz w:val="20"/>
              </w:rPr>
              <w:t>)</w:t>
            </w:r>
          </w:p>
        </w:tc>
        <w:tc>
          <w:tcPr>
            <w:tcW w:w="2265" w:type="dxa"/>
          </w:tcPr>
          <w:p w14:paraId="376634BF" w14:textId="77777777" w:rsidR="00977B82" w:rsidRDefault="00CE696C">
            <w:pPr>
              <w:rPr>
                <w:sz w:val="20"/>
              </w:rPr>
            </w:pPr>
            <w:r>
              <w:rPr>
                <w:sz w:val="20"/>
              </w:rPr>
              <w:t>Medium company</w:t>
            </w:r>
          </w:p>
          <w:p w14:paraId="670261CB" w14:textId="77777777" w:rsidR="00977B82" w:rsidRDefault="00CE696C">
            <w:pPr>
              <w:rPr>
                <w:sz w:val="20"/>
              </w:rPr>
            </w:pPr>
            <w:r>
              <w:rPr>
                <w:color w:val="FF0000"/>
                <w:sz w:val="20"/>
              </w:rPr>
              <w:t xml:space="preserve">(individual </w:t>
            </w:r>
            <w:proofErr w:type="spellStart"/>
            <w:r>
              <w:rPr>
                <w:color w:val="FF0000"/>
                <w:sz w:val="20"/>
              </w:rPr>
              <w:t>AfA</w:t>
            </w:r>
            <w:proofErr w:type="spellEnd"/>
            <w:r>
              <w:rPr>
                <w:color w:val="FF0000"/>
                <w:sz w:val="20"/>
              </w:rPr>
              <w:t>)</w:t>
            </w:r>
          </w:p>
        </w:tc>
        <w:tc>
          <w:tcPr>
            <w:tcW w:w="2266" w:type="dxa"/>
          </w:tcPr>
          <w:p w14:paraId="616EA3DA" w14:textId="77777777" w:rsidR="00977B82" w:rsidRDefault="00CE696C">
            <w:pPr>
              <w:jc w:val="left"/>
              <w:rPr>
                <w:color w:val="FF0000"/>
                <w:sz w:val="20"/>
              </w:rPr>
            </w:pPr>
            <w:r>
              <w:rPr>
                <w:sz w:val="20"/>
              </w:rPr>
              <w:t xml:space="preserve">Cost for a small or medium sized company </w:t>
            </w:r>
            <w:r>
              <w:rPr>
                <w:color w:val="FF0000"/>
                <w:sz w:val="20"/>
              </w:rPr>
              <w:t>if it participates in CTACSub2 Review report</w:t>
            </w:r>
            <w:r>
              <w:rPr>
                <w:sz w:val="20"/>
              </w:rPr>
              <w:t xml:space="preserve"> </w:t>
            </w:r>
          </w:p>
        </w:tc>
      </w:tr>
      <w:tr w:rsidR="00977B82" w14:paraId="54EF3DAD" w14:textId="77777777">
        <w:tc>
          <w:tcPr>
            <w:tcW w:w="2265" w:type="dxa"/>
          </w:tcPr>
          <w:p w14:paraId="0A0B7A1B" w14:textId="77777777" w:rsidR="00977B82" w:rsidRDefault="00CE696C">
            <w:pPr>
              <w:rPr>
                <w:sz w:val="20"/>
              </w:rPr>
            </w:pPr>
            <w:r>
              <w:rPr>
                <w:sz w:val="20"/>
              </w:rPr>
              <w:t>Consultancy Cost, 1 use</w:t>
            </w:r>
          </w:p>
        </w:tc>
        <w:tc>
          <w:tcPr>
            <w:tcW w:w="2265" w:type="dxa"/>
          </w:tcPr>
          <w:p w14:paraId="755812A1" w14:textId="77777777" w:rsidR="00977B82" w:rsidRDefault="00CE696C">
            <w:pPr>
              <w:rPr>
                <w:sz w:val="20"/>
              </w:rPr>
            </w:pPr>
            <w:r>
              <w:rPr>
                <w:sz w:val="20"/>
              </w:rPr>
              <w:t>EUR 100,000</w:t>
            </w:r>
          </w:p>
        </w:tc>
        <w:tc>
          <w:tcPr>
            <w:tcW w:w="2265" w:type="dxa"/>
          </w:tcPr>
          <w:p w14:paraId="4ECFACDD" w14:textId="77777777" w:rsidR="00977B82" w:rsidRDefault="00CE696C">
            <w:pPr>
              <w:rPr>
                <w:sz w:val="20"/>
              </w:rPr>
            </w:pPr>
            <w:r>
              <w:rPr>
                <w:sz w:val="20"/>
              </w:rPr>
              <w:t>EUR 100,000</w:t>
            </w:r>
          </w:p>
        </w:tc>
        <w:tc>
          <w:tcPr>
            <w:tcW w:w="2266" w:type="dxa"/>
          </w:tcPr>
          <w:p w14:paraId="1027763A" w14:textId="77777777" w:rsidR="00977B82" w:rsidRDefault="00977B82">
            <w:pPr>
              <w:rPr>
                <w:sz w:val="20"/>
              </w:rPr>
            </w:pPr>
          </w:p>
        </w:tc>
      </w:tr>
      <w:tr w:rsidR="00977B82" w14:paraId="18EC63D9" w14:textId="77777777">
        <w:tc>
          <w:tcPr>
            <w:tcW w:w="2265" w:type="dxa"/>
          </w:tcPr>
          <w:p w14:paraId="791DEEEF" w14:textId="77777777" w:rsidR="00977B82" w:rsidRDefault="00CE696C">
            <w:pPr>
              <w:rPr>
                <w:sz w:val="20"/>
              </w:rPr>
            </w:pPr>
            <w:r>
              <w:rPr>
                <w:sz w:val="20"/>
              </w:rPr>
              <w:t>ECHA Fees 1 Use</w:t>
            </w:r>
          </w:p>
        </w:tc>
        <w:tc>
          <w:tcPr>
            <w:tcW w:w="2265" w:type="dxa"/>
          </w:tcPr>
          <w:p w14:paraId="0C6445E8" w14:textId="77777777" w:rsidR="00977B82" w:rsidRDefault="00CE696C">
            <w:pPr>
              <w:rPr>
                <w:sz w:val="20"/>
              </w:rPr>
            </w:pPr>
            <w:r>
              <w:rPr>
                <w:sz w:val="20"/>
              </w:rPr>
              <w:t>EUR 19,476</w:t>
            </w:r>
          </w:p>
        </w:tc>
        <w:tc>
          <w:tcPr>
            <w:tcW w:w="2265" w:type="dxa"/>
          </w:tcPr>
          <w:p w14:paraId="7DDA8B27" w14:textId="77777777" w:rsidR="00977B82" w:rsidRDefault="00CE696C">
            <w:pPr>
              <w:rPr>
                <w:sz w:val="20"/>
              </w:rPr>
            </w:pPr>
            <w:r>
              <w:rPr>
                <w:sz w:val="20"/>
              </w:rPr>
              <w:t>EU</w:t>
            </w:r>
            <w:r>
              <w:rPr>
                <w:sz w:val="20"/>
              </w:rPr>
              <w:t>R 32,460</w:t>
            </w:r>
          </w:p>
        </w:tc>
        <w:tc>
          <w:tcPr>
            <w:tcW w:w="2266" w:type="dxa"/>
          </w:tcPr>
          <w:p w14:paraId="44194803" w14:textId="77777777" w:rsidR="00977B82" w:rsidRDefault="00977B82">
            <w:pPr>
              <w:rPr>
                <w:sz w:val="20"/>
              </w:rPr>
            </w:pPr>
          </w:p>
        </w:tc>
      </w:tr>
      <w:tr w:rsidR="00977B82" w14:paraId="02D366AD" w14:textId="77777777">
        <w:tc>
          <w:tcPr>
            <w:tcW w:w="2265" w:type="dxa"/>
          </w:tcPr>
          <w:p w14:paraId="3FBF3D9F" w14:textId="77777777" w:rsidR="00977B82" w:rsidRDefault="00CE696C">
            <w:pPr>
              <w:rPr>
                <w:sz w:val="20"/>
              </w:rPr>
            </w:pPr>
            <w:r>
              <w:rPr>
                <w:sz w:val="20"/>
              </w:rPr>
              <w:t>Total cost</w:t>
            </w:r>
          </w:p>
        </w:tc>
        <w:tc>
          <w:tcPr>
            <w:tcW w:w="2265" w:type="dxa"/>
          </w:tcPr>
          <w:p w14:paraId="26ABC2AC" w14:textId="77777777" w:rsidR="00977B82" w:rsidRDefault="00CE696C">
            <w:pPr>
              <w:rPr>
                <w:b/>
                <w:sz w:val="20"/>
              </w:rPr>
            </w:pPr>
            <w:r>
              <w:rPr>
                <w:b/>
                <w:sz w:val="20"/>
              </w:rPr>
              <w:t>EUR 119,476</w:t>
            </w:r>
          </w:p>
        </w:tc>
        <w:tc>
          <w:tcPr>
            <w:tcW w:w="2265" w:type="dxa"/>
          </w:tcPr>
          <w:p w14:paraId="26580605" w14:textId="77777777" w:rsidR="00977B82" w:rsidRDefault="00CE696C">
            <w:pPr>
              <w:rPr>
                <w:b/>
                <w:sz w:val="20"/>
              </w:rPr>
            </w:pPr>
            <w:r>
              <w:rPr>
                <w:b/>
                <w:sz w:val="20"/>
              </w:rPr>
              <w:t>EUR 132,460</w:t>
            </w:r>
          </w:p>
        </w:tc>
        <w:tc>
          <w:tcPr>
            <w:tcW w:w="2266" w:type="dxa"/>
          </w:tcPr>
          <w:p w14:paraId="19EBB6E0" w14:textId="77777777" w:rsidR="00977B82" w:rsidRDefault="00CE696C">
            <w:pPr>
              <w:rPr>
                <w:b/>
                <w:sz w:val="20"/>
              </w:rPr>
            </w:pPr>
            <w:r>
              <w:rPr>
                <w:b/>
                <w:sz w:val="20"/>
              </w:rPr>
              <w:t>EUR 15,000</w:t>
            </w:r>
          </w:p>
        </w:tc>
      </w:tr>
      <w:tr w:rsidR="00977B82" w14:paraId="65BEA8D7" w14:textId="77777777">
        <w:tc>
          <w:tcPr>
            <w:tcW w:w="2265" w:type="dxa"/>
          </w:tcPr>
          <w:p w14:paraId="0316B047" w14:textId="77777777" w:rsidR="00977B82" w:rsidRDefault="00CE696C">
            <w:pPr>
              <w:jc w:val="left"/>
              <w:rPr>
                <w:sz w:val="20"/>
              </w:rPr>
            </w:pPr>
            <w:r>
              <w:rPr>
                <w:sz w:val="20"/>
              </w:rPr>
              <w:t xml:space="preserve">Cost </w:t>
            </w:r>
            <w:r>
              <w:rPr>
                <w:b/>
                <w:sz w:val="20"/>
              </w:rPr>
              <w:t>per year</w:t>
            </w:r>
            <w:r>
              <w:rPr>
                <w:sz w:val="20"/>
              </w:rPr>
              <w:t xml:space="preserve"> (7 years in case of joint review report, 12 years in case of individual </w:t>
            </w:r>
            <w:proofErr w:type="spellStart"/>
            <w:r>
              <w:rPr>
                <w:sz w:val="20"/>
              </w:rPr>
              <w:t>AfA</w:t>
            </w:r>
            <w:proofErr w:type="spellEnd"/>
            <w:r>
              <w:rPr>
                <w:sz w:val="20"/>
              </w:rPr>
              <w:t>)</w:t>
            </w:r>
          </w:p>
        </w:tc>
        <w:tc>
          <w:tcPr>
            <w:tcW w:w="2265" w:type="dxa"/>
          </w:tcPr>
          <w:p w14:paraId="18753477" w14:textId="77777777" w:rsidR="00977B82" w:rsidRDefault="00CE696C">
            <w:pPr>
              <w:rPr>
                <w:b/>
                <w:sz w:val="20"/>
              </w:rPr>
            </w:pPr>
            <w:r>
              <w:rPr>
                <w:b/>
                <w:sz w:val="20"/>
              </w:rPr>
              <w:t>EUR 9,956</w:t>
            </w:r>
          </w:p>
        </w:tc>
        <w:tc>
          <w:tcPr>
            <w:tcW w:w="2265" w:type="dxa"/>
          </w:tcPr>
          <w:p w14:paraId="636A8B32" w14:textId="77777777" w:rsidR="00977B82" w:rsidRDefault="00CE696C">
            <w:pPr>
              <w:rPr>
                <w:b/>
                <w:sz w:val="20"/>
              </w:rPr>
            </w:pPr>
            <w:r>
              <w:rPr>
                <w:b/>
                <w:sz w:val="20"/>
              </w:rPr>
              <w:t>EUR 11,038</w:t>
            </w:r>
          </w:p>
        </w:tc>
        <w:tc>
          <w:tcPr>
            <w:tcW w:w="2266" w:type="dxa"/>
          </w:tcPr>
          <w:p w14:paraId="096AEACE" w14:textId="77777777" w:rsidR="00977B82" w:rsidRDefault="00CE696C">
            <w:pPr>
              <w:rPr>
                <w:b/>
                <w:sz w:val="20"/>
              </w:rPr>
            </w:pPr>
            <w:r>
              <w:rPr>
                <w:b/>
                <w:sz w:val="20"/>
              </w:rPr>
              <w:t>EUR 2,143</w:t>
            </w:r>
          </w:p>
        </w:tc>
      </w:tr>
    </w:tbl>
    <w:p w14:paraId="5E602F4C" w14:textId="77777777" w:rsidR="00977B82" w:rsidRDefault="00977B82"/>
    <w:p w14:paraId="2B0365BB" w14:textId="77777777" w:rsidR="00977B82" w:rsidRDefault="00CE696C">
      <w:r>
        <w:t>Given that the aim of the REACH authorization provisions is to progressively substitute Chromium trioxide, it is vital that any Review report include comprehensive information about uses, potential alternatives, exposure to workers and environment and non-</w:t>
      </w:r>
      <w:r>
        <w:t xml:space="preserve">use scenarios.  Experience has shown and new ECHA Guidance requires that in order to be successful and achieve acceptable review periods in </w:t>
      </w:r>
      <w:r>
        <w:lastRenderedPageBreak/>
        <w:t>an upstream application scenario, all DUs must actively contribute to the gathering of information that is mostly av</w:t>
      </w:r>
      <w:r>
        <w:t>ailable in their sphere.</w:t>
      </w:r>
    </w:p>
    <w:p w14:paraId="3C6278B9" w14:textId="77777777" w:rsidR="00977B82" w:rsidRDefault="00977B82"/>
    <w:p w14:paraId="28BE171E" w14:textId="77777777" w:rsidR="00977B82" w:rsidRDefault="00CE696C">
      <w:r>
        <w:t>Simultaneously with the increased information requirements, the volume of Chromium trioxide covered by the CTACSub2 Review report will decrease for three reasons: dislocation of manufacturing to third countries; coverage of DUs by</w:t>
      </w:r>
      <w:r>
        <w:t xml:space="preserve"> their own DU specific authorization; and substitution.  It is for this reason and the significant cost of the CTACSub upstream application that CTACSub2 can only continue with upstream application if there are a sufficient number of DUs that are willing t</w:t>
      </w:r>
      <w:r>
        <w:t xml:space="preserve">o sign-up for continued cooperation </w:t>
      </w:r>
      <w:r>
        <w:rPr>
          <w:b/>
          <w:bCs/>
          <w:u w:val="single"/>
        </w:rPr>
        <w:t>and these DUs entirely finance the required work</w:t>
      </w:r>
      <w:r>
        <w:t>.  The cost of the Work Plan 2021-2026 is currently estimated at EUR 1.5-2 Million for up to 5 Uses.</w:t>
      </w:r>
    </w:p>
    <w:p w14:paraId="1F899F6F" w14:textId="77777777" w:rsidR="00977B82" w:rsidRDefault="00977B82"/>
    <w:p w14:paraId="7DB62E60" w14:textId="77777777" w:rsidR="00977B82" w:rsidRDefault="00CE696C">
      <w:r>
        <w:t>Set out below is the Work Plan.</w:t>
      </w:r>
    </w:p>
    <w:p w14:paraId="511E1CE6" w14:textId="77777777" w:rsidR="00977B82" w:rsidRDefault="00977B82"/>
    <w:p w14:paraId="0B477F7F" w14:textId="77777777" w:rsidR="00977B82" w:rsidRDefault="00CE696C">
      <w:pPr>
        <w:rPr>
          <w:rFonts w:eastAsia="MS Mincho"/>
          <w:b/>
          <w:u w:val="single"/>
        </w:rPr>
      </w:pPr>
      <w:r>
        <w:rPr>
          <w:rFonts w:eastAsia="MS Mincho"/>
          <w:b/>
          <w:u w:val="single"/>
        </w:rPr>
        <w:t>Work Plan</w:t>
      </w:r>
    </w:p>
    <w:p w14:paraId="50F2D9BE" w14:textId="77777777" w:rsidR="00977B82" w:rsidRDefault="00977B82">
      <w:pPr>
        <w:jc w:val="center"/>
        <w:rPr>
          <w:rFonts w:eastAsia="MS Mincho"/>
          <w:b/>
          <w:u w:val="single"/>
        </w:rPr>
      </w:pPr>
    </w:p>
    <w:tbl>
      <w:tblPr>
        <w:tblStyle w:val="Tabelraster"/>
        <w:tblW w:w="9067" w:type="dxa"/>
        <w:tblLayout w:type="fixed"/>
        <w:tblCellMar>
          <w:top w:w="113" w:type="dxa"/>
          <w:bottom w:w="113" w:type="dxa"/>
        </w:tblCellMar>
        <w:tblLook w:val="04A0" w:firstRow="1" w:lastRow="0" w:firstColumn="1" w:lastColumn="0" w:noHBand="0" w:noVBand="1"/>
      </w:tblPr>
      <w:tblGrid>
        <w:gridCol w:w="3022"/>
        <w:gridCol w:w="3022"/>
        <w:gridCol w:w="3023"/>
      </w:tblGrid>
      <w:tr w:rsidR="00977B82" w14:paraId="197688E4" w14:textId="77777777">
        <w:trPr>
          <w:tblHeader/>
        </w:trPr>
        <w:tc>
          <w:tcPr>
            <w:tcW w:w="3022" w:type="dxa"/>
          </w:tcPr>
          <w:p w14:paraId="0F98271E" w14:textId="77777777" w:rsidR="00977B82" w:rsidRDefault="00CE696C">
            <w:pPr>
              <w:jc w:val="center"/>
              <w:rPr>
                <w:rFonts w:eastAsia="MS Mincho"/>
                <w:b/>
              </w:rPr>
            </w:pPr>
            <w:r>
              <w:rPr>
                <w:rFonts w:eastAsia="MS Mincho"/>
                <w:b/>
              </w:rPr>
              <w:t>Scope of Work</w:t>
            </w:r>
          </w:p>
        </w:tc>
        <w:tc>
          <w:tcPr>
            <w:tcW w:w="3022" w:type="dxa"/>
          </w:tcPr>
          <w:p w14:paraId="5B215C40" w14:textId="77777777" w:rsidR="00977B82" w:rsidRDefault="00CE696C">
            <w:pPr>
              <w:jc w:val="center"/>
              <w:rPr>
                <w:rFonts w:eastAsia="MS Mincho"/>
                <w:b/>
              </w:rPr>
            </w:pPr>
            <w:r>
              <w:rPr>
                <w:rFonts w:eastAsia="MS Mincho"/>
                <w:b/>
              </w:rPr>
              <w:t>Timing</w:t>
            </w:r>
          </w:p>
        </w:tc>
        <w:tc>
          <w:tcPr>
            <w:tcW w:w="3023" w:type="dxa"/>
          </w:tcPr>
          <w:p w14:paraId="29DCDF7D" w14:textId="77777777" w:rsidR="00977B82" w:rsidRDefault="00CE696C">
            <w:pPr>
              <w:jc w:val="center"/>
              <w:rPr>
                <w:rFonts w:eastAsia="MS Mincho"/>
                <w:b/>
              </w:rPr>
            </w:pPr>
            <w:r>
              <w:rPr>
                <w:rFonts w:eastAsia="MS Mincho"/>
                <w:b/>
              </w:rPr>
              <w:t>Tasks</w:t>
            </w:r>
          </w:p>
        </w:tc>
      </w:tr>
      <w:tr w:rsidR="00977B82" w14:paraId="11202B6C" w14:textId="77777777">
        <w:tc>
          <w:tcPr>
            <w:tcW w:w="3022" w:type="dxa"/>
          </w:tcPr>
          <w:p w14:paraId="736E5B6E" w14:textId="77777777" w:rsidR="00977B82" w:rsidRDefault="00CE696C">
            <w:pPr>
              <w:jc w:val="left"/>
              <w:rPr>
                <w:rFonts w:eastAsia="MS Mincho"/>
              </w:rPr>
            </w:pPr>
            <w:r>
              <w:rPr>
                <w:rFonts w:eastAsia="MS Mincho"/>
              </w:rPr>
              <w:t>Obtain information from DUs on their interest in continued upstream application (‘scoping exercise’)</w:t>
            </w:r>
          </w:p>
        </w:tc>
        <w:tc>
          <w:tcPr>
            <w:tcW w:w="3022" w:type="dxa"/>
          </w:tcPr>
          <w:p w14:paraId="6BB68B89" w14:textId="77777777" w:rsidR="00977B82" w:rsidRDefault="00CE696C">
            <w:pPr>
              <w:jc w:val="left"/>
              <w:rPr>
                <w:rFonts w:eastAsia="MS Mincho"/>
              </w:rPr>
            </w:pPr>
            <w:r>
              <w:rPr>
                <w:rFonts w:eastAsia="MS Mincho"/>
              </w:rPr>
              <w:t>By March 31, 2021</w:t>
            </w:r>
          </w:p>
        </w:tc>
        <w:tc>
          <w:tcPr>
            <w:tcW w:w="3023" w:type="dxa"/>
          </w:tcPr>
          <w:p w14:paraId="5513FB48" w14:textId="77777777" w:rsidR="00977B82" w:rsidRDefault="00CE696C">
            <w:pPr>
              <w:jc w:val="left"/>
              <w:rPr>
                <w:rFonts w:eastAsia="MS Mincho"/>
              </w:rPr>
            </w:pPr>
            <w:r>
              <w:rPr>
                <w:rFonts w:eastAsia="MS Mincho"/>
              </w:rPr>
              <w:t xml:space="preserve">Gather information on: </w:t>
            </w:r>
          </w:p>
          <w:p w14:paraId="7A9BE460" w14:textId="77777777" w:rsidR="00977B82" w:rsidRDefault="00CE696C">
            <w:pPr>
              <w:pStyle w:val="Lijstalinea"/>
              <w:numPr>
                <w:ilvl w:val="0"/>
                <w:numId w:val="38"/>
              </w:numPr>
              <w:ind w:hanging="284"/>
              <w:jc w:val="left"/>
              <w:rPr>
                <w:rFonts w:eastAsia="MS Mincho"/>
              </w:rPr>
            </w:pPr>
            <w:r>
              <w:rPr>
                <w:rFonts w:eastAsia="MS Mincho"/>
              </w:rPr>
              <w:t>Tonnage for continued use</w:t>
            </w:r>
          </w:p>
          <w:p w14:paraId="4995344E" w14:textId="77777777" w:rsidR="00977B82" w:rsidRDefault="00CE696C">
            <w:pPr>
              <w:pStyle w:val="Lijstalinea"/>
              <w:numPr>
                <w:ilvl w:val="0"/>
                <w:numId w:val="38"/>
              </w:numPr>
              <w:ind w:hanging="284"/>
              <w:jc w:val="left"/>
              <w:rPr>
                <w:rFonts w:eastAsia="MS Mincho"/>
              </w:rPr>
            </w:pPr>
            <w:r>
              <w:rPr>
                <w:rFonts w:eastAsia="MS Mincho"/>
              </w:rPr>
              <w:t>Required uses (including description of use)</w:t>
            </w:r>
          </w:p>
          <w:p w14:paraId="7C0470DE" w14:textId="77777777" w:rsidR="00977B82" w:rsidRDefault="00CE696C">
            <w:pPr>
              <w:pStyle w:val="Lijstalinea"/>
              <w:numPr>
                <w:ilvl w:val="0"/>
                <w:numId w:val="38"/>
              </w:numPr>
              <w:ind w:hanging="284"/>
              <w:jc w:val="left"/>
              <w:rPr>
                <w:rFonts w:eastAsia="MS Mincho"/>
              </w:rPr>
            </w:pPr>
            <w:r>
              <w:rPr>
                <w:rFonts w:eastAsia="MS Mincho"/>
              </w:rPr>
              <w:t>Obtain commitment from DUs for part</w:t>
            </w:r>
            <w:r>
              <w:rPr>
                <w:rFonts w:eastAsia="MS Mincho"/>
              </w:rPr>
              <w:t>icipation by signature of sign-up document and payment of financial contribution.</w:t>
            </w:r>
          </w:p>
          <w:p w14:paraId="516B015D" w14:textId="77777777" w:rsidR="00977B82" w:rsidRDefault="00CE696C">
            <w:pPr>
              <w:pStyle w:val="Lijstalinea"/>
              <w:numPr>
                <w:ilvl w:val="0"/>
                <w:numId w:val="38"/>
              </w:numPr>
              <w:ind w:hanging="284"/>
              <w:jc w:val="left"/>
              <w:rPr>
                <w:rFonts w:eastAsia="MS Mincho"/>
              </w:rPr>
            </w:pPr>
            <w:r>
              <w:rPr>
                <w:rFonts w:eastAsia="MS Mincho"/>
              </w:rPr>
              <w:t>Decide whether there is a sufficient number of DUs to merit the continuation of work.  If not, reimburse DUs who signed up except for initial costs until that time and stop a</w:t>
            </w:r>
            <w:r>
              <w:rPr>
                <w:rFonts w:eastAsia="MS Mincho"/>
              </w:rPr>
              <w:t>ll work.  If it becomes clear already at this time that certain uses cannot be supported because of lack of interest, reimburse only those DUs except for the costs in relation to the scoping exercise</w:t>
            </w:r>
          </w:p>
        </w:tc>
      </w:tr>
      <w:tr w:rsidR="00977B82" w14:paraId="4DABB7A0" w14:textId="77777777">
        <w:tc>
          <w:tcPr>
            <w:tcW w:w="3022" w:type="dxa"/>
          </w:tcPr>
          <w:p w14:paraId="1A2E9186" w14:textId="77777777" w:rsidR="00977B82" w:rsidRDefault="00CE696C">
            <w:pPr>
              <w:jc w:val="left"/>
              <w:rPr>
                <w:rFonts w:eastAsia="MS Mincho"/>
              </w:rPr>
            </w:pPr>
            <w:r>
              <w:rPr>
                <w:rFonts w:eastAsia="MS Mincho"/>
              </w:rPr>
              <w:t>Decision on which uses to support and their exact descr</w:t>
            </w:r>
            <w:r>
              <w:rPr>
                <w:rFonts w:eastAsia="MS Mincho"/>
              </w:rPr>
              <w:t>iption</w:t>
            </w:r>
          </w:p>
        </w:tc>
        <w:tc>
          <w:tcPr>
            <w:tcW w:w="3022" w:type="dxa"/>
          </w:tcPr>
          <w:p w14:paraId="07917981" w14:textId="77777777" w:rsidR="00977B82" w:rsidRDefault="00CE696C">
            <w:pPr>
              <w:jc w:val="left"/>
              <w:rPr>
                <w:rFonts w:eastAsia="MS Mincho"/>
              </w:rPr>
            </w:pPr>
            <w:r>
              <w:rPr>
                <w:rFonts w:eastAsia="MS Mincho"/>
              </w:rPr>
              <w:t>End of 2021 latest</w:t>
            </w:r>
          </w:p>
        </w:tc>
        <w:tc>
          <w:tcPr>
            <w:tcW w:w="3023" w:type="dxa"/>
          </w:tcPr>
          <w:p w14:paraId="72EF09B3" w14:textId="77777777" w:rsidR="00977B82" w:rsidRDefault="00CE696C">
            <w:pPr>
              <w:pStyle w:val="Lijstalinea"/>
              <w:numPr>
                <w:ilvl w:val="0"/>
                <w:numId w:val="38"/>
              </w:numPr>
              <w:ind w:hanging="284"/>
              <w:jc w:val="left"/>
              <w:rPr>
                <w:rFonts w:eastAsia="MS Mincho"/>
              </w:rPr>
            </w:pPr>
            <w:r>
              <w:rPr>
                <w:rFonts w:eastAsia="MS Mincho"/>
              </w:rPr>
              <w:t>Gather detailed information from DUs who have signed up (see above) and decide on this basis</w:t>
            </w:r>
          </w:p>
          <w:p w14:paraId="57540EF0" w14:textId="77777777" w:rsidR="00977B82" w:rsidRDefault="00CE696C">
            <w:pPr>
              <w:pStyle w:val="Lijstalinea"/>
              <w:numPr>
                <w:ilvl w:val="0"/>
                <w:numId w:val="38"/>
              </w:numPr>
              <w:ind w:hanging="284"/>
              <w:jc w:val="left"/>
              <w:rPr>
                <w:rFonts w:eastAsia="MS Mincho"/>
              </w:rPr>
            </w:pPr>
            <w:r>
              <w:rPr>
                <w:rFonts w:eastAsia="MS Mincho"/>
              </w:rPr>
              <w:t>Reimburse those DUs</w:t>
            </w:r>
            <w:r>
              <w:rPr>
                <w:rFonts w:eastAsia="MS Mincho"/>
              </w:rPr>
              <w:t xml:space="preserve"> whose use has finally not been taken up (except for expenses used up until end of 2021)</w:t>
            </w:r>
          </w:p>
          <w:p w14:paraId="4ECDF137" w14:textId="77777777" w:rsidR="00977B82" w:rsidRDefault="00CE696C">
            <w:pPr>
              <w:pStyle w:val="Lijstalinea"/>
              <w:numPr>
                <w:ilvl w:val="0"/>
                <w:numId w:val="38"/>
              </w:numPr>
              <w:ind w:hanging="284"/>
              <w:jc w:val="left"/>
              <w:rPr>
                <w:rFonts w:eastAsia="MS Mincho"/>
              </w:rPr>
            </w:pPr>
            <w:r>
              <w:rPr>
                <w:rFonts w:eastAsia="MS Mincho"/>
              </w:rPr>
              <w:t>Allow market new comers</w:t>
            </w:r>
          </w:p>
        </w:tc>
      </w:tr>
      <w:tr w:rsidR="00977B82" w14:paraId="0F857F84" w14:textId="77777777">
        <w:tc>
          <w:tcPr>
            <w:tcW w:w="3022" w:type="dxa"/>
          </w:tcPr>
          <w:p w14:paraId="4FB05D80" w14:textId="77777777" w:rsidR="00977B82" w:rsidRDefault="00CE696C">
            <w:pPr>
              <w:jc w:val="left"/>
              <w:rPr>
                <w:rFonts w:eastAsia="MS Mincho"/>
              </w:rPr>
            </w:pPr>
            <w:r>
              <w:rPr>
                <w:rFonts w:eastAsia="MS Mincho"/>
              </w:rPr>
              <w:t xml:space="preserve">Draft review report, validation with DUs and filing with ECHA, follow procedure with </w:t>
            </w:r>
            <w:r>
              <w:rPr>
                <w:rFonts w:eastAsia="MS Mincho"/>
              </w:rPr>
              <w:lastRenderedPageBreak/>
              <w:t>ECHA and European Commission</w:t>
            </w:r>
          </w:p>
        </w:tc>
        <w:tc>
          <w:tcPr>
            <w:tcW w:w="3022" w:type="dxa"/>
          </w:tcPr>
          <w:p w14:paraId="3BFFD250" w14:textId="77777777" w:rsidR="00977B82" w:rsidRDefault="00CE696C">
            <w:pPr>
              <w:jc w:val="left"/>
              <w:rPr>
                <w:rFonts w:eastAsia="MS Mincho"/>
              </w:rPr>
            </w:pPr>
            <w:r>
              <w:rPr>
                <w:rFonts w:eastAsia="MS Mincho"/>
              </w:rPr>
              <w:lastRenderedPageBreak/>
              <w:t>End of 2021 until 2025/26</w:t>
            </w:r>
          </w:p>
        </w:tc>
        <w:tc>
          <w:tcPr>
            <w:tcW w:w="3023" w:type="dxa"/>
          </w:tcPr>
          <w:p w14:paraId="60342698" w14:textId="77777777" w:rsidR="00977B82" w:rsidRDefault="00CE696C">
            <w:pPr>
              <w:pStyle w:val="Lijstalinea"/>
              <w:numPr>
                <w:ilvl w:val="0"/>
                <w:numId w:val="38"/>
              </w:numPr>
              <w:ind w:hanging="284"/>
              <w:jc w:val="left"/>
              <w:rPr>
                <w:rFonts w:eastAsia="MS Mincho"/>
              </w:rPr>
            </w:pPr>
            <w:r>
              <w:rPr>
                <w:rFonts w:eastAsia="MS Mincho"/>
              </w:rPr>
              <w:t>Dr</w:t>
            </w:r>
            <w:r>
              <w:rPr>
                <w:rFonts w:eastAsia="MS Mincho"/>
              </w:rPr>
              <w:t>aft Review report</w:t>
            </w:r>
          </w:p>
          <w:p w14:paraId="4BB985C3" w14:textId="77777777" w:rsidR="00977B82" w:rsidRDefault="00CE696C">
            <w:pPr>
              <w:pStyle w:val="Lijstalinea"/>
              <w:numPr>
                <w:ilvl w:val="0"/>
                <w:numId w:val="38"/>
              </w:numPr>
              <w:ind w:hanging="284"/>
              <w:jc w:val="left"/>
              <w:rPr>
                <w:rFonts w:eastAsia="MS Mincho"/>
              </w:rPr>
            </w:pPr>
            <w:r>
              <w:rPr>
                <w:rFonts w:eastAsia="MS Mincho"/>
              </w:rPr>
              <w:t>Consult participating DUs and validate Review report</w:t>
            </w:r>
          </w:p>
          <w:p w14:paraId="274D5CF0" w14:textId="77777777" w:rsidR="00977B82" w:rsidRDefault="00CE696C">
            <w:pPr>
              <w:pStyle w:val="Lijstalinea"/>
              <w:numPr>
                <w:ilvl w:val="0"/>
                <w:numId w:val="38"/>
              </w:numPr>
              <w:ind w:hanging="284"/>
              <w:jc w:val="left"/>
              <w:rPr>
                <w:rFonts w:eastAsia="MS Mincho"/>
              </w:rPr>
            </w:pPr>
            <w:r>
              <w:rPr>
                <w:rFonts w:eastAsia="MS Mincho"/>
              </w:rPr>
              <w:lastRenderedPageBreak/>
              <w:t>File Review report by March 2023 latest</w:t>
            </w:r>
          </w:p>
          <w:p w14:paraId="5DF32785" w14:textId="77777777" w:rsidR="00977B82" w:rsidRDefault="00CE696C">
            <w:pPr>
              <w:pStyle w:val="Lijstalinea"/>
              <w:numPr>
                <w:ilvl w:val="0"/>
                <w:numId w:val="38"/>
              </w:numPr>
              <w:ind w:hanging="284"/>
              <w:jc w:val="left"/>
              <w:rPr>
                <w:rFonts w:eastAsia="MS Mincho"/>
              </w:rPr>
            </w:pPr>
            <w:r>
              <w:rPr>
                <w:rFonts w:eastAsia="MS Mincho"/>
              </w:rPr>
              <w:t>Pursue ECHA public consultation and RAC / SEAC opinion making and questioning;</w:t>
            </w:r>
          </w:p>
          <w:p w14:paraId="54400C55" w14:textId="77777777" w:rsidR="00977B82" w:rsidRDefault="00CE696C">
            <w:pPr>
              <w:pStyle w:val="Lijstalinea"/>
              <w:numPr>
                <w:ilvl w:val="0"/>
                <w:numId w:val="38"/>
              </w:numPr>
              <w:ind w:hanging="284"/>
              <w:jc w:val="left"/>
              <w:rPr>
                <w:rFonts w:eastAsia="MS Mincho"/>
              </w:rPr>
            </w:pPr>
            <w:r>
              <w:rPr>
                <w:rFonts w:eastAsia="MS Mincho"/>
              </w:rPr>
              <w:t>Accompany decision making in REACH Committee and European Commissi</w:t>
            </w:r>
            <w:r>
              <w:rPr>
                <w:rFonts w:eastAsia="MS Mincho"/>
              </w:rPr>
              <w:t>on</w:t>
            </w:r>
          </w:p>
          <w:p w14:paraId="3825EBC0" w14:textId="77777777" w:rsidR="00977B82" w:rsidRDefault="00CE696C">
            <w:pPr>
              <w:pStyle w:val="Lijstalinea"/>
              <w:numPr>
                <w:ilvl w:val="0"/>
                <w:numId w:val="38"/>
              </w:numPr>
              <w:ind w:hanging="284"/>
              <w:jc w:val="left"/>
              <w:rPr>
                <w:rFonts w:eastAsia="MS Mincho"/>
              </w:rPr>
            </w:pPr>
            <w:r>
              <w:rPr>
                <w:rFonts w:eastAsia="MS Mincho"/>
              </w:rPr>
              <w:t>Make any changes required throughout the procedure (revision of REACH Regulation anticipated for 2024 which may make authorization more difficult)</w:t>
            </w:r>
          </w:p>
          <w:p w14:paraId="21D1FA8C" w14:textId="77777777" w:rsidR="00977B82" w:rsidRDefault="00CE696C">
            <w:pPr>
              <w:pStyle w:val="Lijstalinea"/>
              <w:numPr>
                <w:ilvl w:val="0"/>
                <w:numId w:val="38"/>
              </w:numPr>
              <w:ind w:hanging="284"/>
              <w:jc w:val="left"/>
              <w:rPr>
                <w:rFonts w:eastAsia="MS Mincho"/>
              </w:rPr>
            </w:pPr>
            <w:r>
              <w:rPr>
                <w:rFonts w:eastAsia="MS Mincho"/>
              </w:rPr>
              <w:t>Pursue third party communication (European Parliament, Member States etc.)</w:t>
            </w:r>
          </w:p>
        </w:tc>
      </w:tr>
    </w:tbl>
    <w:p w14:paraId="0F799657" w14:textId="77777777" w:rsidR="00977B82" w:rsidRDefault="00977B82">
      <w:pPr>
        <w:jc w:val="left"/>
        <w:rPr>
          <w:rFonts w:eastAsia="MS Mincho"/>
        </w:rPr>
      </w:pPr>
    </w:p>
    <w:p w14:paraId="4689419A" w14:textId="77777777" w:rsidR="00977B82" w:rsidRDefault="00CE696C">
      <w:pPr>
        <w:jc w:val="left"/>
        <w:rPr>
          <w:rFonts w:eastAsia="MS Mincho"/>
        </w:rPr>
      </w:pPr>
      <w:r>
        <w:rPr>
          <w:rFonts w:eastAsia="MS Mincho"/>
        </w:rPr>
        <w:t xml:space="preserve">Set out below are the principles of participation and commitments to be made by DUs.  </w:t>
      </w:r>
    </w:p>
    <w:p w14:paraId="1AA67B0D" w14:textId="77777777" w:rsidR="00977B82" w:rsidRDefault="00977B82">
      <w:pPr>
        <w:jc w:val="left"/>
        <w:rPr>
          <w:rFonts w:eastAsia="MS Mincho"/>
        </w:rPr>
      </w:pPr>
    </w:p>
    <w:p w14:paraId="7FCB6DD9" w14:textId="77777777" w:rsidR="00977B82" w:rsidRDefault="00CE696C">
      <w:pPr>
        <w:jc w:val="left"/>
        <w:rPr>
          <w:rFonts w:eastAsia="MS Mincho"/>
          <w:b/>
          <w:u w:val="single"/>
        </w:rPr>
      </w:pPr>
      <w:r>
        <w:rPr>
          <w:rFonts w:eastAsia="MS Mincho"/>
          <w:b/>
          <w:u w:val="single"/>
        </w:rPr>
        <w:t>Commitments and Principles of DU Participation</w:t>
      </w:r>
    </w:p>
    <w:p w14:paraId="3A420CA7" w14:textId="77777777" w:rsidR="00977B82" w:rsidRDefault="00977B82">
      <w:pPr>
        <w:jc w:val="left"/>
        <w:rPr>
          <w:rFonts w:eastAsia="MS Mincho"/>
          <w:b/>
          <w:u w:val="single"/>
        </w:rPr>
      </w:pPr>
    </w:p>
    <w:p w14:paraId="12EC2F06" w14:textId="77777777" w:rsidR="00977B82" w:rsidRDefault="00CE696C">
      <w:pPr>
        <w:ind w:left="720" w:hanging="720"/>
        <w:rPr>
          <w:rFonts w:eastAsia="MS Mincho"/>
        </w:rPr>
      </w:pPr>
      <w:r>
        <w:rPr>
          <w:rFonts w:eastAsia="MS Mincho"/>
        </w:rPr>
        <w:t>(1)</w:t>
      </w:r>
      <w:r>
        <w:rPr>
          <w:rFonts w:eastAsia="MS Mincho"/>
        </w:rPr>
        <w:tab/>
        <w:t xml:space="preserve">DU commits to fully participate in the information gathering exercises at all times during the Work Plan and </w:t>
      </w:r>
      <w:r>
        <w:rPr>
          <w:rFonts w:eastAsia="MS Mincho"/>
        </w:rPr>
        <w:t>will provide accurate and comprehensive information (confidential information will be aggregated and neutralized by technical consultants who will act as trustees).</w:t>
      </w:r>
    </w:p>
    <w:p w14:paraId="09D4B02E" w14:textId="77777777" w:rsidR="00977B82" w:rsidRDefault="00977B82">
      <w:pPr>
        <w:ind w:left="720" w:hanging="720"/>
        <w:rPr>
          <w:rFonts w:eastAsia="MS Mincho"/>
        </w:rPr>
      </w:pPr>
    </w:p>
    <w:p w14:paraId="3F7794A0" w14:textId="77777777" w:rsidR="00977B82" w:rsidRDefault="00CE696C">
      <w:pPr>
        <w:ind w:left="720" w:hanging="720"/>
        <w:rPr>
          <w:rFonts w:eastAsia="MS Mincho"/>
        </w:rPr>
      </w:pPr>
      <w:r>
        <w:rPr>
          <w:rFonts w:eastAsia="MS Mincho"/>
        </w:rPr>
        <w:t>(2)</w:t>
      </w:r>
      <w:r>
        <w:rPr>
          <w:rFonts w:eastAsia="MS Mincho"/>
        </w:rPr>
        <w:tab/>
        <w:t xml:space="preserve">DU commits to always adhere to the </w:t>
      </w:r>
      <w:proofErr w:type="spellStart"/>
      <w:r>
        <w:rPr>
          <w:rFonts w:eastAsia="MS Mincho"/>
        </w:rPr>
        <w:t>CTACSub</w:t>
      </w:r>
      <w:proofErr w:type="spellEnd"/>
      <w:r>
        <w:rPr>
          <w:rFonts w:eastAsia="MS Mincho"/>
        </w:rPr>
        <w:t xml:space="preserve"> and </w:t>
      </w:r>
      <w:proofErr w:type="spellStart"/>
      <w:r>
        <w:rPr>
          <w:rFonts w:eastAsia="MS Mincho"/>
        </w:rPr>
        <w:t>ReachLaw</w:t>
      </w:r>
      <w:proofErr w:type="spellEnd"/>
      <w:r>
        <w:rPr>
          <w:rFonts w:eastAsia="MS Mincho"/>
        </w:rPr>
        <w:t xml:space="preserve"> authorization decisions and th</w:t>
      </w:r>
      <w:r>
        <w:rPr>
          <w:rFonts w:eastAsia="MS Mincho"/>
        </w:rPr>
        <w:t>eir conditions; to observe the safety data sheets including exposure scenarios supplied by DU’s suppliers and to strictly adhere to the CTACSub Good Practice Sheets.</w:t>
      </w:r>
      <w:r>
        <w:rPr>
          <w:rStyle w:val="Voetnootmarkering"/>
          <w:rFonts w:eastAsia="MS Mincho"/>
        </w:rPr>
        <w:footnoteReference w:id="4"/>
      </w:r>
      <w:r>
        <w:rPr>
          <w:rFonts w:eastAsia="MS Mincho"/>
        </w:rPr>
        <w:t xml:space="preserve">  DU will allow the technical consultants of CTACSub2 to visit DU’s operations to inspect</w:t>
      </w:r>
      <w:r>
        <w:rPr>
          <w:rFonts w:eastAsia="MS Mincho"/>
        </w:rPr>
        <w:t xml:space="preserve"> the operational conditions and risk management measures on site and to scrutinize DU’s exposure monitoring results submitted to ECHA under Article 66 REACH.  DU acknowledges that the success of the Review report would be jeopardized by non-compliant DUs a</w:t>
      </w:r>
      <w:r>
        <w:rPr>
          <w:rFonts w:eastAsia="MS Mincho"/>
        </w:rPr>
        <w:t>nd that CTACSub2 shall, therefore, have the right to refuse or end participation of DUs in the Review report works if CTACSub becomes aware of non-compliance of DU with the above requirements or national and EU environmental and workers health &amp; safety law</w:t>
      </w:r>
      <w:r>
        <w:rPr>
          <w:rFonts w:eastAsia="MS Mincho"/>
        </w:rPr>
        <w:t>s and regulations.  This includes the obligation to minimize workers exposure to Chromium trioxide.</w:t>
      </w:r>
    </w:p>
    <w:p w14:paraId="698D95A4" w14:textId="77777777" w:rsidR="00977B82" w:rsidRDefault="00977B82">
      <w:pPr>
        <w:ind w:left="720" w:hanging="720"/>
        <w:rPr>
          <w:rFonts w:eastAsia="MS Mincho"/>
        </w:rPr>
      </w:pPr>
    </w:p>
    <w:p w14:paraId="77B29469" w14:textId="77777777" w:rsidR="00977B82" w:rsidRDefault="00CE696C">
      <w:pPr>
        <w:ind w:left="720" w:hanging="720"/>
        <w:rPr>
          <w:rFonts w:eastAsia="MS Mincho"/>
        </w:rPr>
      </w:pPr>
      <w:r>
        <w:rPr>
          <w:rFonts w:eastAsia="MS Mincho"/>
        </w:rPr>
        <w:t>(3)</w:t>
      </w:r>
      <w:r>
        <w:rPr>
          <w:rFonts w:eastAsia="MS Mincho"/>
        </w:rPr>
        <w:tab/>
        <w:t>DU shall pay by March 31, 2021 a participation fee</w:t>
      </w:r>
      <w:r>
        <w:rPr>
          <w:rStyle w:val="Voetnootmarkering"/>
          <w:rFonts w:eastAsia="MS Mincho"/>
        </w:rPr>
        <w:footnoteReference w:id="5"/>
      </w:r>
      <w:r>
        <w:rPr>
          <w:rFonts w:eastAsia="MS Mincho"/>
        </w:rPr>
        <w:t xml:space="preserve"> of EUR 15,000 for small and medium sized companies or EUR 30,000 for large size companies</w:t>
      </w:r>
      <w:r>
        <w:rPr>
          <w:rStyle w:val="Voetnootmarkering"/>
          <w:rFonts w:eastAsia="MS Mincho"/>
        </w:rPr>
        <w:footnoteReference w:id="6"/>
      </w:r>
      <w:r>
        <w:rPr>
          <w:rFonts w:eastAsia="MS Mincho"/>
        </w:rPr>
        <w:t>, regar</w:t>
      </w:r>
      <w:r>
        <w:rPr>
          <w:rFonts w:eastAsia="MS Mincho"/>
        </w:rPr>
        <w:t>dless of the number of uses DU is interested in.  CTACSub2 reserves the right to request verifiable documentation about the company size. This participation fee will be partially refunded if the scoping exercise or later work concludes that the specific us</w:t>
      </w:r>
      <w:r>
        <w:rPr>
          <w:rFonts w:eastAsia="MS Mincho"/>
        </w:rPr>
        <w:t xml:space="preserve">es requested cannot be supported or the Work Plan is ended early because the number of DUs that participate is not sufficient to cover the anticipated cost of the work.  Any left-overs after the review procedure will have ended will be reimbursed at </w:t>
      </w:r>
      <w:r>
        <w:rPr>
          <w:rFonts w:eastAsia="MS Mincho"/>
        </w:rPr>
        <w:lastRenderedPageBreak/>
        <w:t>the en</w:t>
      </w:r>
      <w:r>
        <w:rPr>
          <w:rFonts w:eastAsia="MS Mincho"/>
        </w:rPr>
        <w:t>d of the work life of CTACSub2.  Should the authorization procedure prove exceptionally complicated or lengthy, CTACSub reserves the right to request an additional participation fee.</w:t>
      </w:r>
    </w:p>
    <w:p w14:paraId="18F46633" w14:textId="77777777" w:rsidR="00977B82" w:rsidRDefault="00977B82">
      <w:pPr>
        <w:ind w:left="720" w:hanging="720"/>
        <w:rPr>
          <w:rFonts w:eastAsia="MS Mincho"/>
        </w:rPr>
      </w:pPr>
    </w:p>
    <w:p w14:paraId="73017549" w14:textId="77777777" w:rsidR="00977B82" w:rsidRDefault="00CE696C">
      <w:pPr>
        <w:ind w:left="720" w:hanging="720"/>
        <w:rPr>
          <w:rFonts w:eastAsia="MS Mincho"/>
        </w:rPr>
      </w:pPr>
      <w:r>
        <w:rPr>
          <w:rFonts w:eastAsia="MS Mincho"/>
        </w:rPr>
        <w:t xml:space="preserve"> (4)</w:t>
      </w:r>
      <w:r>
        <w:rPr>
          <w:rFonts w:eastAsia="MS Mincho"/>
        </w:rPr>
        <w:tab/>
        <w:t>DU acknowledges and recognizes that DU shall no longer receive Chro</w:t>
      </w:r>
      <w:r>
        <w:rPr>
          <w:rFonts w:eastAsia="MS Mincho"/>
        </w:rPr>
        <w:t>mium trioxide deliveries from CTACSub2 authorization holders and/or their supply chain (distributors) as of September 21, 2024 if DU does not participate in this Work Plan, unless DU holds an individual valid authorization for its Use(s).</w:t>
      </w:r>
    </w:p>
    <w:p w14:paraId="19FD6BA8" w14:textId="77777777" w:rsidR="00977B82" w:rsidRDefault="00977B82">
      <w:pPr>
        <w:ind w:left="720" w:hanging="720"/>
        <w:rPr>
          <w:rFonts w:eastAsia="MS Mincho"/>
        </w:rPr>
      </w:pPr>
    </w:p>
    <w:p w14:paraId="2A17C281" w14:textId="77777777" w:rsidR="00977B82" w:rsidRDefault="00CE696C">
      <w:pPr>
        <w:ind w:left="720" w:hanging="720"/>
        <w:rPr>
          <w:rFonts w:eastAsia="MS Mincho"/>
        </w:rPr>
      </w:pPr>
      <w:r>
        <w:rPr>
          <w:rFonts w:eastAsia="MS Mincho"/>
        </w:rPr>
        <w:t>(5)</w:t>
      </w:r>
      <w:r>
        <w:rPr>
          <w:rFonts w:eastAsia="MS Mincho"/>
        </w:rPr>
        <w:tab/>
        <w:t>Market newco</w:t>
      </w:r>
      <w:r>
        <w:rPr>
          <w:rFonts w:eastAsia="MS Mincho"/>
        </w:rPr>
        <w:t>mers (defined as natural or legal persons who have not previously used Chromium trioxide in the European Union, Iceland, Norway and Liechtenstein, including their affiliates, predecessors and successors in law) can join the Work Plan late, provided their u</w:t>
      </w:r>
      <w:r>
        <w:rPr>
          <w:rFonts w:eastAsia="MS Mincho"/>
        </w:rPr>
        <w:t>ses squarely fit within the work already done and they pay the extra work caused by their late joining.  No other late-joining mechanism is foreseen.</w:t>
      </w:r>
    </w:p>
    <w:p w14:paraId="6C8DAAB9" w14:textId="77777777" w:rsidR="00977B82" w:rsidRDefault="00977B82">
      <w:pPr>
        <w:ind w:left="720" w:hanging="720"/>
        <w:rPr>
          <w:rFonts w:eastAsia="MS Mincho"/>
        </w:rPr>
      </w:pPr>
    </w:p>
    <w:p w14:paraId="11DB6F93" w14:textId="77777777" w:rsidR="00977B82" w:rsidRDefault="00CE696C">
      <w:pPr>
        <w:ind w:left="720" w:hanging="720"/>
        <w:rPr>
          <w:rFonts w:eastAsia="MS Mincho"/>
        </w:rPr>
      </w:pPr>
      <w:r>
        <w:rPr>
          <w:rFonts w:eastAsia="MS Mincho"/>
        </w:rPr>
        <w:t>(6)</w:t>
      </w:r>
      <w:r>
        <w:rPr>
          <w:rFonts w:eastAsia="MS Mincho"/>
        </w:rPr>
        <w:tab/>
        <w:t>DU commits to keep all information and documentation received during the Work Plan confidential and n</w:t>
      </w:r>
      <w:r>
        <w:rPr>
          <w:rFonts w:eastAsia="MS Mincho"/>
        </w:rPr>
        <w:t xml:space="preserve">ot to disseminate or use any information and documentation outside its company or with external advisers unless subject to appropriate non-disclosure agreements or required by law.  CTACSub2 Members are entitled to claim damages in case of breaches of the </w:t>
      </w:r>
      <w:r>
        <w:rPr>
          <w:rFonts w:eastAsia="MS Mincho"/>
        </w:rPr>
        <w:t>aforementioned confidentiality commitment.</w:t>
      </w:r>
    </w:p>
    <w:p w14:paraId="2A541154" w14:textId="77777777" w:rsidR="00977B82" w:rsidRDefault="00977B82">
      <w:pPr>
        <w:ind w:left="720" w:hanging="720"/>
        <w:rPr>
          <w:rFonts w:eastAsia="MS Mincho"/>
        </w:rPr>
      </w:pPr>
    </w:p>
    <w:p w14:paraId="76297C75" w14:textId="77777777" w:rsidR="00977B82" w:rsidRDefault="00CE696C">
      <w:pPr>
        <w:ind w:left="720" w:hanging="720"/>
        <w:rPr>
          <w:rFonts w:eastAsia="MS Mincho"/>
        </w:rPr>
      </w:pPr>
      <w:r>
        <w:rPr>
          <w:rFonts w:eastAsia="MS Mincho"/>
        </w:rPr>
        <w:t>(7)</w:t>
      </w:r>
      <w:r>
        <w:rPr>
          <w:rFonts w:eastAsia="MS Mincho"/>
        </w:rPr>
        <w:tab/>
        <w:t>DU commits at all times in the context of this Work Plan to comply with all applicable laws, including competition law and trade sanctions.  DU recognizes that it is DU’s sole responsibility to comply with RE</w:t>
      </w:r>
      <w:r>
        <w:rPr>
          <w:rFonts w:eastAsia="MS Mincho"/>
        </w:rPr>
        <w:t>ACH.  DU recognizes that CTACSub2 Members cannot guarantee or be held liable that the Review report will be successful in achieving continued authorization; nor can CTACSub2 Members commit, despite best efforts, to support any or all uses brought forward b</w:t>
      </w:r>
      <w:r>
        <w:rPr>
          <w:rFonts w:eastAsia="MS Mincho"/>
        </w:rPr>
        <w:t>y the individual DU.</w:t>
      </w:r>
    </w:p>
    <w:p w14:paraId="30989681" w14:textId="77777777" w:rsidR="00977B82" w:rsidRDefault="00977B82">
      <w:pPr>
        <w:ind w:left="720" w:hanging="720"/>
        <w:rPr>
          <w:rFonts w:eastAsia="MS Mincho"/>
        </w:rPr>
      </w:pPr>
    </w:p>
    <w:p w14:paraId="68D2B265" w14:textId="77777777" w:rsidR="00977B82" w:rsidRDefault="00CE696C">
      <w:pPr>
        <w:ind w:left="720" w:hanging="720"/>
        <w:rPr>
          <w:rFonts w:eastAsia="MS Mincho"/>
        </w:rPr>
      </w:pPr>
      <w:r>
        <w:rPr>
          <w:rFonts w:eastAsia="MS Mincho"/>
        </w:rPr>
        <w:t>(8)</w:t>
      </w:r>
      <w:r>
        <w:rPr>
          <w:rFonts w:eastAsia="MS Mincho"/>
        </w:rPr>
        <w:tab/>
        <w:t xml:space="preserve">DU commits and represents with respect to any information submitted for consideration in the Review report </w:t>
      </w:r>
      <w:r>
        <w:t>(i) that it is the rightful owner or grantee of the information and free to grant rights therein, (ii) that, to the knowled</w:t>
      </w:r>
      <w:r>
        <w:t>ge of this DU, this information does not infringe on the rights, in particular, but without limitation, intellectual property rights, of any third party and (iii) that DU has not received a claim or notice of any alleged infringement.</w:t>
      </w:r>
    </w:p>
    <w:p w14:paraId="7612BD3B" w14:textId="77777777" w:rsidR="00977B82" w:rsidRDefault="00977B82">
      <w:pPr>
        <w:ind w:left="720" w:hanging="720"/>
        <w:rPr>
          <w:rFonts w:eastAsia="MS Mincho"/>
        </w:rPr>
      </w:pPr>
    </w:p>
    <w:p w14:paraId="47F279E4" w14:textId="77777777" w:rsidR="00977B82" w:rsidRDefault="00CE696C">
      <w:pPr>
        <w:ind w:left="720" w:hanging="720"/>
        <w:rPr>
          <w:rFonts w:eastAsia="MS Mincho"/>
        </w:rPr>
      </w:pPr>
      <w:r>
        <w:rPr>
          <w:rFonts w:eastAsia="MS Mincho"/>
        </w:rPr>
        <w:t>(9)</w:t>
      </w:r>
      <w:r>
        <w:rPr>
          <w:rFonts w:eastAsia="MS Mincho"/>
        </w:rPr>
        <w:tab/>
        <w:t>DU agrees that B</w:t>
      </w:r>
      <w:r>
        <w:rPr>
          <w:rFonts w:eastAsia="MS Mincho"/>
        </w:rPr>
        <w:t>elgian law shall apply for any disputes arising and in connection with the Work Plan and the commitments hereunder and that any disputes that cannot be amicably resolved shall be subject to arbitration under the rules of CEPANI to take place in Brussels, B</w:t>
      </w:r>
      <w:r>
        <w:rPr>
          <w:rFonts w:eastAsia="MS Mincho"/>
        </w:rPr>
        <w:t>elgium in the English language.</w:t>
      </w:r>
      <w:r>
        <w:t xml:space="preserve">  The arbitral tribunal shall consist of three (3) arbitrators: each party designates one (1) arbitrator; these two (2) arbitrators then designate the third arbitrator, who acts as chairperson; the chairperson shall have a un</w:t>
      </w:r>
      <w:r>
        <w:t>iversity / state degree in law. The arbitration award shall include a decision on who bears the cost of arbitration. No other recourse shall be available. The decision shall be binding on the parties.</w:t>
      </w:r>
    </w:p>
    <w:p w14:paraId="3C3B0A9A" w14:textId="77777777" w:rsidR="00977B82" w:rsidRDefault="00977B82">
      <w:pPr>
        <w:ind w:left="720" w:hanging="720"/>
        <w:rPr>
          <w:rFonts w:eastAsia="MS Mincho"/>
        </w:rPr>
      </w:pPr>
    </w:p>
    <w:p w14:paraId="40128991" w14:textId="77777777" w:rsidR="00977B82" w:rsidRDefault="00CE696C">
      <w:pPr>
        <w:ind w:left="720" w:hanging="720"/>
      </w:pPr>
      <w:r>
        <w:rPr>
          <w:rFonts w:eastAsia="MS Mincho"/>
        </w:rPr>
        <w:t>(10)</w:t>
      </w:r>
      <w:r>
        <w:rPr>
          <w:rFonts w:eastAsia="MS Mincho"/>
        </w:rPr>
        <w:tab/>
        <w:t>DU acknowledges that any breach of the commitment</w:t>
      </w:r>
      <w:r>
        <w:rPr>
          <w:rFonts w:eastAsia="MS Mincho"/>
        </w:rPr>
        <w:t>s taken hereunder and representations made entitle the CTACSub2 Members to exclude DU with immediate effect from any further cooperation hereunder, unless the DU is able to cure its breach within five calendar days after having received notice of the breac</w:t>
      </w:r>
      <w:r>
        <w:rPr>
          <w:rFonts w:eastAsia="MS Mincho"/>
        </w:rPr>
        <w:t xml:space="preserve">h.  </w:t>
      </w:r>
      <w:r>
        <w:t>The obligation to render compensation for damages, other remedies and injunction or other equitable relief in accordance with the applicable legal provisions shall remain unaffected.</w:t>
      </w:r>
    </w:p>
    <w:p w14:paraId="22344E6D" w14:textId="77777777" w:rsidR="00977B82" w:rsidRDefault="00977B82"/>
    <w:p w14:paraId="4BB181C4" w14:textId="77777777" w:rsidR="00977B82" w:rsidRDefault="00977B82"/>
    <w:p w14:paraId="73CC11B2" w14:textId="77777777" w:rsidR="00977B82" w:rsidRDefault="00CE696C">
      <w:pPr>
        <w:rPr>
          <w:b/>
          <w:u w:val="single"/>
        </w:rPr>
      </w:pPr>
      <w:r>
        <w:rPr>
          <w:b/>
          <w:u w:val="single"/>
        </w:rPr>
        <w:t>Commitment</w:t>
      </w:r>
    </w:p>
    <w:p w14:paraId="76CFBD2A" w14:textId="77777777" w:rsidR="00977B82" w:rsidRDefault="00977B82"/>
    <w:p w14:paraId="1A98FCDB" w14:textId="77777777" w:rsidR="00977B82" w:rsidRDefault="00CE696C">
      <w:r>
        <w:t>I, ……………………………………………………, on behalf of and for the accou</w:t>
      </w:r>
      <w:r>
        <w:t xml:space="preserve">nt of DU company </w:t>
      </w:r>
    </w:p>
    <w:p w14:paraId="7A291620" w14:textId="77777777" w:rsidR="00977B82" w:rsidRDefault="00977B82"/>
    <w:p w14:paraId="1542CF26" w14:textId="77777777" w:rsidR="00977B82" w:rsidRDefault="00CE696C">
      <w:r>
        <w:t>…………………………………………………………………………………………………………...,</w:t>
      </w:r>
    </w:p>
    <w:p w14:paraId="3F11B2A8" w14:textId="77777777" w:rsidR="00977B82" w:rsidRDefault="00977B82"/>
    <w:p w14:paraId="24FFA64F" w14:textId="77777777" w:rsidR="00977B82" w:rsidRDefault="00CE696C">
      <w:r>
        <w:t>and its Affiliates, …………………………………………………………………………………………,</w:t>
      </w:r>
    </w:p>
    <w:p w14:paraId="7E9BDEEA" w14:textId="77777777" w:rsidR="00977B82" w:rsidRDefault="00977B82"/>
    <w:p w14:paraId="3CC3BC61" w14:textId="77777777" w:rsidR="00977B82" w:rsidRDefault="00CE696C">
      <w:r>
        <w:lastRenderedPageBreak/>
        <w:t>duly authorized, hereby commit to the above principles of participation and shall participate in the Work Plan.</w:t>
      </w:r>
    </w:p>
    <w:p w14:paraId="3C1EBB5E" w14:textId="77777777" w:rsidR="00977B82" w:rsidRDefault="00977B82"/>
    <w:p w14:paraId="0206CEBB" w14:textId="77777777" w:rsidR="00977B82" w:rsidRDefault="00CE696C">
      <w:r>
        <w:t>For Company:</w:t>
      </w:r>
    </w:p>
    <w:p w14:paraId="5A359DA5" w14:textId="77777777" w:rsidR="00977B82" w:rsidRDefault="00977B82"/>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6871"/>
      </w:tblGrid>
      <w:tr w:rsidR="00977B82" w14:paraId="06E40F7A" w14:textId="77777777">
        <w:tc>
          <w:tcPr>
            <w:tcW w:w="2410" w:type="dxa"/>
          </w:tcPr>
          <w:p w14:paraId="55EDA83F" w14:textId="77777777" w:rsidR="00977B82" w:rsidRDefault="00CE696C">
            <w:r>
              <w:t>Signature:</w:t>
            </w:r>
          </w:p>
        </w:tc>
        <w:tc>
          <w:tcPr>
            <w:tcW w:w="6804" w:type="dxa"/>
          </w:tcPr>
          <w:p w14:paraId="195C598C" w14:textId="77777777" w:rsidR="00977B82" w:rsidRDefault="00CE696C">
            <w:r>
              <w:rPr>
                <w:rFonts w:eastAsia="MS Mincho"/>
              </w:rPr>
              <w:t>……………………………………………………………………………….</w:t>
            </w:r>
          </w:p>
        </w:tc>
      </w:tr>
      <w:tr w:rsidR="00977B82" w14:paraId="79693D33" w14:textId="77777777">
        <w:tc>
          <w:tcPr>
            <w:tcW w:w="2410" w:type="dxa"/>
          </w:tcPr>
          <w:p w14:paraId="763276F6" w14:textId="77777777" w:rsidR="00977B82" w:rsidRDefault="00CE696C">
            <w:r>
              <w:t>Date:</w:t>
            </w:r>
          </w:p>
        </w:tc>
        <w:tc>
          <w:tcPr>
            <w:tcW w:w="6804" w:type="dxa"/>
          </w:tcPr>
          <w:p w14:paraId="090AABB0" w14:textId="77777777" w:rsidR="00977B82" w:rsidRDefault="00CE696C">
            <w:r>
              <w:rPr>
                <w:rFonts w:eastAsia="MS Mincho"/>
              </w:rPr>
              <w:t>……………………………………………………………………………….</w:t>
            </w:r>
          </w:p>
        </w:tc>
      </w:tr>
      <w:tr w:rsidR="00977B82" w14:paraId="44EEE49C" w14:textId="77777777">
        <w:tc>
          <w:tcPr>
            <w:tcW w:w="2410" w:type="dxa"/>
          </w:tcPr>
          <w:p w14:paraId="555DCB8E" w14:textId="77777777" w:rsidR="00977B82" w:rsidRDefault="00CE696C">
            <w:pPr>
              <w:jc w:val="left"/>
            </w:pPr>
            <w:r>
              <w:t xml:space="preserve">Company name: </w:t>
            </w:r>
          </w:p>
        </w:tc>
        <w:tc>
          <w:tcPr>
            <w:tcW w:w="6804" w:type="dxa"/>
          </w:tcPr>
          <w:p w14:paraId="0A56F482" w14:textId="77777777" w:rsidR="00977B82" w:rsidRDefault="00CE696C">
            <w:r>
              <w:rPr>
                <w:rFonts w:eastAsia="MS Mincho"/>
              </w:rPr>
              <w:t>……………………………………………………………………………….</w:t>
            </w:r>
          </w:p>
        </w:tc>
      </w:tr>
      <w:tr w:rsidR="00977B82" w14:paraId="720ED993" w14:textId="77777777">
        <w:tc>
          <w:tcPr>
            <w:tcW w:w="2410" w:type="dxa"/>
          </w:tcPr>
          <w:p w14:paraId="1BC51628" w14:textId="77777777" w:rsidR="00977B82" w:rsidRDefault="00977B82">
            <w:pPr>
              <w:jc w:val="left"/>
            </w:pPr>
          </w:p>
        </w:tc>
        <w:tc>
          <w:tcPr>
            <w:tcW w:w="6804" w:type="dxa"/>
          </w:tcPr>
          <w:p w14:paraId="72EFBC11" w14:textId="77777777" w:rsidR="00977B82" w:rsidRDefault="00CE696C">
            <w:r>
              <w:rPr>
                <w:rFonts w:eastAsia="MS Mincho"/>
              </w:rPr>
              <w:t>……………………………………………………………………………….</w:t>
            </w:r>
          </w:p>
        </w:tc>
      </w:tr>
      <w:tr w:rsidR="00977B82" w14:paraId="67C22CE2" w14:textId="77777777">
        <w:tc>
          <w:tcPr>
            <w:tcW w:w="2410" w:type="dxa"/>
          </w:tcPr>
          <w:p w14:paraId="3EBDD0EB" w14:textId="77777777" w:rsidR="00977B82" w:rsidRDefault="00CE696C">
            <w:pPr>
              <w:jc w:val="left"/>
            </w:pPr>
            <w:r>
              <w:t>Company stamp:</w:t>
            </w:r>
          </w:p>
          <w:p w14:paraId="13048C3C" w14:textId="77777777" w:rsidR="00977B82" w:rsidRDefault="00977B82">
            <w:pPr>
              <w:jc w:val="left"/>
            </w:pPr>
          </w:p>
        </w:tc>
        <w:tc>
          <w:tcPr>
            <w:tcW w:w="6804" w:type="dxa"/>
          </w:tcPr>
          <w:p w14:paraId="30848A80" w14:textId="77777777" w:rsidR="00977B82" w:rsidRDefault="00977B82"/>
        </w:tc>
      </w:tr>
      <w:tr w:rsidR="00977B82" w14:paraId="77E3AE31" w14:textId="77777777">
        <w:tc>
          <w:tcPr>
            <w:tcW w:w="2410" w:type="dxa"/>
          </w:tcPr>
          <w:p w14:paraId="1F40D8E2" w14:textId="77777777" w:rsidR="00977B82" w:rsidRDefault="00977B82"/>
        </w:tc>
        <w:tc>
          <w:tcPr>
            <w:tcW w:w="6804" w:type="dxa"/>
          </w:tcPr>
          <w:p w14:paraId="15CD1678" w14:textId="77777777" w:rsidR="00977B82" w:rsidRDefault="00977B82"/>
        </w:tc>
      </w:tr>
      <w:tr w:rsidR="00977B82" w14:paraId="3C273FF0" w14:textId="77777777">
        <w:tc>
          <w:tcPr>
            <w:tcW w:w="9214" w:type="dxa"/>
            <w:gridSpan w:val="2"/>
          </w:tcPr>
          <w:p w14:paraId="749E7B45" w14:textId="77777777" w:rsidR="00977B82" w:rsidRDefault="00CE696C">
            <w:r>
              <w:t xml:space="preserve">Contact information of responsible person for further </w:t>
            </w:r>
            <w:r>
              <w:t>communication:</w:t>
            </w:r>
          </w:p>
          <w:p w14:paraId="7EEBEE70" w14:textId="77777777" w:rsidR="00977B82" w:rsidRDefault="00977B82"/>
        </w:tc>
      </w:tr>
      <w:tr w:rsidR="00977B82" w14:paraId="4E7262C8" w14:textId="77777777">
        <w:tc>
          <w:tcPr>
            <w:tcW w:w="2410" w:type="dxa"/>
          </w:tcPr>
          <w:p w14:paraId="48CCC0C4" w14:textId="77777777" w:rsidR="00977B82" w:rsidRDefault="00CE696C">
            <w:r>
              <w:t xml:space="preserve">Name: </w:t>
            </w:r>
          </w:p>
        </w:tc>
        <w:tc>
          <w:tcPr>
            <w:tcW w:w="6804" w:type="dxa"/>
          </w:tcPr>
          <w:p w14:paraId="720BEC3A" w14:textId="77777777" w:rsidR="00977B82" w:rsidRDefault="00CE696C">
            <w:r>
              <w:rPr>
                <w:rFonts w:eastAsia="MS Mincho"/>
              </w:rPr>
              <w:t>……………………………………………………………………………….</w:t>
            </w:r>
          </w:p>
        </w:tc>
      </w:tr>
      <w:tr w:rsidR="00977B82" w14:paraId="3D049B79" w14:textId="77777777">
        <w:tc>
          <w:tcPr>
            <w:tcW w:w="2410" w:type="dxa"/>
          </w:tcPr>
          <w:p w14:paraId="15447A49" w14:textId="77777777" w:rsidR="00977B82" w:rsidRDefault="00CE696C">
            <w:r>
              <w:t>Function:</w:t>
            </w:r>
          </w:p>
        </w:tc>
        <w:tc>
          <w:tcPr>
            <w:tcW w:w="6804" w:type="dxa"/>
          </w:tcPr>
          <w:p w14:paraId="7F13FE02" w14:textId="77777777" w:rsidR="00977B82" w:rsidRDefault="00CE696C">
            <w:r>
              <w:rPr>
                <w:rFonts w:eastAsia="MS Mincho"/>
              </w:rPr>
              <w:t>……………………………………………………………………………….</w:t>
            </w:r>
          </w:p>
        </w:tc>
      </w:tr>
      <w:tr w:rsidR="00977B82" w14:paraId="427A2B41" w14:textId="77777777">
        <w:tc>
          <w:tcPr>
            <w:tcW w:w="2410" w:type="dxa"/>
          </w:tcPr>
          <w:p w14:paraId="74CD3776" w14:textId="77777777" w:rsidR="00977B82" w:rsidRDefault="00CE696C">
            <w:r>
              <w:t>E-mail address:</w:t>
            </w:r>
          </w:p>
        </w:tc>
        <w:tc>
          <w:tcPr>
            <w:tcW w:w="6804" w:type="dxa"/>
          </w:tcPr>
          <w:p w14:paraId="7FD5A725" w14:textId="77777777" w:rsidR="00977B82" w:rsidRDefault="00CE696C">
            <w:r>
              <w:rPr>
                <w:rFonts w:eastAsia="MS Mincho"/>
              </w:rPr>
              <w:t>……………………………………………………………………………….</w:t>
            </w:r>
          </w:p>
        </w:tc>
      </w:tr>
      <w:tr w:rsidR="00977B82" w14:paraId="5C36FFE4" w14:textId="77777777">
        <w:tc>
          <w:tcPr>
            <w:tcW w:w="2410" w:type="dxa"/>
          </w:tcPr>
          <w:p w14:paraId="63DA3D58" w14:textId="77777777" w:rsidR="00977B82" w:rsidRDefault="00CE696C">
            <w:r>
              <w:t>Telephone number:</w:t>
            </w:r>
          </w:p>
        </w:tc>
        <w:tc>
          <w:tcPr>
            <w:tcW w:w="6804" w:type="dxa"/>
          </w:tcPr>
          <w:p w14:paraId="467045EA" w14:textId="77777777" w:rsidR="00977B82" w:rsidRDefault="00CE696C">
            <w:r>
              <w:rPr>
                <w:rFonts w:eastAsia="MS Mincho"/>
              </w:rPr>
              <w:t>……………………………………………………………………………….</w:t>
            </w:r>
          </w:p>
        </w:tc>
      </w:tr>
    </w:tbl>
    <w:p w14:paraId="4503BE85" w14:textId="77777777" w:rsidR="00977B82" w:rsidRDefault="00977B82"/>
    <w:p w14:paraId="3BB0D559" w14:textId="77777777" w:rsidR="00977B82" w:rsidRDefault="00CE696C">
      <w:r>
        <w:t>Size of the company (</w:t>
      </w:r>
      <w:r>
        <w:rPr>
          <w:i/>
          <w:iCs/>
        </w:rPr>
        <w:t>check the appropriate box</w:t>
      </w:r>
      <w:r>
        <w:t>)</w:t>
      </w:r>
    </w:p>
    <w:p w14:paraId="09F599CB" w14:textId="77777777" w:rsidR="00977B82" w:rsidRDefault="00977B82"/>
    <w:p w14:paraId="2E19A7C9" w14:textId="77777777" w:rsidR="00977B82" w:rsidRDefault="00CE696C">
      <w:pPr>
        <w:ind w:left="142"/>
      </w:pPr>
      <w:r>
        <w:sym w:font="Wingdings" w:char="F0A8"/>
      </w:r>
      <w:r>
        <w:t xml:space="preserve">  small / medium</w:t>
      </w:r>
    </w:p>
    <w:p w14:paraId="294695D9" w14:textId="77777777" w:rsidR="00977B82" w:rsidRDefault="00CE696C">
      <w:pPr>
        <w:ind w:left="142"/>
      </w:pPr>
      <w:r>
        <w:sym w:font="Wingdings" w:char="F0A8"/>
      </w:r>
      <w:r>
        <w:t xml:space="preserve">  large</w:t>
      </w:r>
    </w:p>
    <w:p w14:paraId="13EF78C8" w14:textId="77777777" w:rsidR="00977B82" w:rsidRDefault="00977B82"/>
    <w:p w14:paraId="64F9470D" w14:textId="77777777" w:rsidR="00977B82" w:rsidRDefault="00CE696C">
      <w:r>
        <w:t>Use(s) desired for continued authorization (</w:t>
      </w:r>
      <w:r>
        <w:rPr>
          <w:i/>
          <w:iCs/>
        </w:rPr>
        <w:t>check the appropriate box</w:t>
      </w:r>
      <w:r>
        <w:t xml:space="preserve">): </w:t>
      </w:r>
    </w:p>
    <w:p w14:paraId="4A27B8FB" w14:textId="77777777" w:rsidR="00977B82" w:rsidRDefault="00977B82"/>
    <w:p w14:paraId="70F0474D" w14:textId="77777777" w:rsidR="00977B82" w:rsidRDefault="00CE696C">
      <w:pPr>
        <w:ind w:left="862" w:hanging="720"/>
      </w:pPr>
      <w:r>
        <w:sym w:font="Wingdings" w:char="F0A8"/>
      </w:r>
      <w:r>
        <w:tab/>
        <w:t>Use 1 Formulation of mixtures exclusively for uses REACH/20/X/7 to REACH/20/X/34</w:t>
      </w:r>
    </w:p>
    <w:p w14:paraId="4CEC582C" w14:textId="77777777" w:rsidR="00977B82" w:rsidRDefault="00CE696C">
      <w:pPr>
        <w:ind w:left="862" w:hanging="720"/>
      </w:pPr>
      <w:r>
        <w:sym w:font="Wingdings" w:char="F0A8"/>
      </w:r>
      <w:r>
        <w:tab/>
        <w:t xml:space="preserve">Use 2 Functional chrome plating where any of the following key </w:t>
      </w:r>
      <w:r>
        <w:t>functionalities is necessary for the intended use: wear resistance, hardness, layer thickness, corrosion resistance, coefficient of friction, or effect on surface morphology</w:t>
      </w:r>
    </w:p>
    <w:p w14:paraId="21FF6BEC" w14:textId="77777777" w:rsidR="00977B82" w:rsidRDefault="00CE696C">
      <w:pPr>
        <w:ind w:left="862" w:hanging="720"/>
      </w:pPr>
      <w:r>
        <w:sym w:font="Wingdings" w:char="F0A8"/>
      </w:r>
      <w:r>
        <w:tab/>
        <w:t>Use 4 Surface treatment for applications in the aeronautics and aerospace indust</w:t>
      </w:r>
      <w:r>
        <w:t xml:space="preserve">ries, unrelated to functional chrome plating or functional chrome plating with decorative character, where any of the following key functionalities is necessary for the intended use: corrosion resistance / active corrosion inhibition, chemical resistance, </w:t>
      </w:r>
      <w:r>
        <w:t>hardness, adhesion promotion (adhesion to subsequent coating or paint), temperature resistance, resistance to embrittlement, wear resistance, surface properties impeding deposition of organisms, layer thickness, flexibility, and resistivity</w:t>
      </w:r>
    </w:p>
    <w:p w14:paraId="5EDC11B4" w14:textId="77777777" w:rsidR="00977B82" w:rsidRDefault="00CE696C">
      <w:pPr>
        <w:ind w:left="862" w:hanging="720"/>
      </w:pPr>
      <w:r>
        <w:sym w:font="Wingdings" w:char="F0A8"/>
      </w:r>
      <w:r>
        <w:tab/>
        <w:t>Use 5 Surface</w:t>
      </w:r>
      <w:r>
        <w:t xml:space="preserve"> treatment (except passivation of tin-plated steel (electrolytic tin plating - ETP)) for applications in architectural, automotive, metal manufacturing and finishing, and general engineering industry sectors,  unrelated to functional chrome plating or func</w:t>
      </w:r>
      <w:r>
        <w:t>tional chrome plating with decorative character, where any of the following key functionalities is necessary for the intended use: corrosion resistance/ active corrosion inhibition, layer thickness, humidity resistance, adhesion promotion (adhesion to subs</w:t>
      </w:r>
      <w:r>
        <w:t>equent coating or paint), resistivity, chemical resistance, wear resistance, electrical conductivity, compatibility with substrate, (thermo) optical properties (visual appearance), heat resistance, food safety, coating tension, electric insulation or depos</w:t>
      </w:r>
      <w:r>
        <w:t>ition speed</w:t>
      </w:r>
    </w:p>
    <w:p w14:paraId="3B9FFF7B" w14:textId="77777777" w:rsidR="00977B82" w:rsidRDefault="00CE696C">
      <w:pPr>
        <w:ind w:left="862" w:hanging="720"/>
      </w:pPr>
      <w:r>
        <w:sym w:font="Wingdings" w:char="F0A8"/>
      </w:r>
      <w:r>
        <w:tab/>
        <w:t>Use 6 Passivation of tin-plated steel (electrolytic tin plating - ETP</w:t>
      </w:r>
    </w:p>
    <w:p w14:paraId="0418EA67" w14:textId="77777777" w:rsidR="00977B82" w:rsidRDefault="00977B82"/>
    <w:p w14:paraId="4AE5274B" w14:textId="77777777" w:rsidR="00977B82" w:rsidRDefault="00CE696C">
      <w:r>
        <w:t>For the uses ticked above, DU provides additional information (in broad terms; using the terminology of the CTACSub authorization decision and the previous application tex</w:t>
      </w:r>
      <w:r>
        <w:t>ts indicating the types of industry sectors for which the parts are chromated / surface treated):</w:t>
      </w:r>
    </w:p>
    <w:p w14:paraId="542132B9" w14:textId="77777777" w:rsidR="00977B82" w:rsidRDefault="00977B8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77B82" w14:paraId="5FC2E28F" w14:textId="77777777">
        <w:trPr>
          <w:trHeight w:val="253"/>
        </w:trPr>
        <w:tc>
          <w:tcPr>
            <w:tcW w:w="9061" w:type="dxa"/>
            <w:tcMar>
              <w:top w:w="113" w:type="dxa"/>
              <w:bottom w:w="113" w:type="dxa"/>
            </w:tcMar>
            <w:vAlign w:val="center"/>
          </w:tcPr>
          <w:p w14:paraId="18A3D22E" w14:textId="77777777" w:rsidR="00977B82" w:rsidRDefault="00CE696C">
            <w:pPr>
              <w:rPr>
                <w:rFonts w:eastAsia="MS Mincho"/>
              </w:rPr>
            </w:pPr>
            <w:r>
              <w:rPr>
                <w:rFonts w:eastAsia="MS Mincho"/>
              </w:rPr>
              <w:t>………………………………………………………………………………………………………….</w:t>
            </w:r>
          </w:p>
        </w:tc>
      </w:tr>
      <w:tr w:rsidR="00977B82" w14:paraId="4005A604" w14:textId="77777777">
        <w:trPr>
          <w:trHeight w:val="253"/>
        </w:trPr>
        <w:tc>
          <w:tcPr>
            <w:tcW w:w="9061" w:type="dxa"/>
            <w:tcMar>
              <w:top w:w="113" w:type="dxa"/>
              <w:bottom w:w="113" w:type="dxa"/>
            </w:tcMar>
            <w:vAlign w:val="center"/>
          </w:tcPr>
          <w:p w14:paraId="527A7C76" w14:textId="77777777" w:rsidR="00977B82" w:rsidRDefault="00CE696C">
            <w:pPr>
              <w:jc w:val="left"/>
              <w:rPr>
                <w:rFonts w:eastAsia="MS Mincho"/>
              </w:rPr>
            </w:pPr>
            <w:r>
              <w:rPr>
                <w:rFonts w:eastAsia="MS Mincho"/>
              </w:rPr>
              <w:t>………………………………………………………………………………………………………….</w:t>
            </w:r>
          </w:p>
        </w:tc>
      </w:tr>
      <w:tr w:rsidR="00977B82" w14:paraId="36947CBB" w14:textId="77777777">
        <w:trPr>
          <w:trHeight w:val="253"/>
        </w:trPr>
        <w:tc>
          <w:tcPr>
            <w:tcW w:w="9061" w:type="dxa"/>
            <w:tcMar>
              <w:top w:w="113" w:type="dxa"/>
              <w:bottom w:w="113" w:type="dxa"/>
            </w:tcMar>
            <w:vAlign w:val="center"/>
          </w:tcPr>
          <w:p w14:paraId="33BEB78D" w14:textId="77777777" w:rsidR="00977B82" w:rsidRDefault="00CE696C">
            <w:pPr>
              <w:jc w:val="left"/>
              <w:rPr>
                <w:rFonts w:eastAsia="MS Mincho"/>
              </w:rPr>
            </w:pPr>
            <w:r>
              <w:rPr>
                <w:rFonts w:eastAsia="MS Mincho"/>
              </w:rPr>
              <w:t>………………………………………………………………………………………………………….</w:t>
            </w:r>
          </w:p>
        </w:tc>
      </w:tr>
    </w:tbl>
    <w:p w14:paraId="7981E9F9" w14:textId="77777777" w:rsidR="00977B82" w:rsidRDefault="00CE696C">
      <w:r>
        <w:lastRenderedPageBreak/>
        <w:t>Please insert Tonnage</w:t>
      </w:r>
      <w:r>
        <w:rPr>
          <w:rStyle w:val="Voetnootmarkering"/>
        </w:rPr>
        <w:footnoteReference w:id="7"/>
      </w:r>
      <w:r>
        <w:t xml:space="preserve"> for </w:t>
      </w:r>
      <w:r>
        <w:t xml:space="preserve">all Uses (estimated annually; 2021 – 2026; separate per year); </w:t>
      </w:r>
    </w:p>
    <w:p w14:paraId="07F9DFB6" w14:textId="77777777" w:rsidR="00977B82" w:rsidRDefault="00977B82"/>
    <w:tbl>
      <w:tblPr>
        <w:tblStyle w:val="Gemiddeldelijst2-accent1"/>
        <w:tblW w:w="3120" w:type="pct"/>
        <w:tblInd w:w="1327" w:type="dxa"/>
        <w:tblLook w:val="04A0" w:firstRow="1" w:lastRow="0" w:firstColumn="1" w:lastColumn="0" w:noHBand="0" w:noVBand="1"/>
      </w:tblPr>
      <w:tblGrid>
        <w:gridCol w:w="1479"/>
        <w:gridCol w:w="4175"/>
      </w:tblGrid>
      <w:tr w:rsidR="00977B82" w14:paraId="427B1846" w14:textId="77777777" w:rsidTr="00977B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8" w:type="pct"/>
            <w:tcBorders>
              <w:top w:val="single" w:sz="4" w:space="0" w:color="auto"/>
              <w:left w:val="single" w:sz="4" w:space="0" w:color="auto"/>
              <w:right w:val="single" w:sz="4" w:space="0" w:color="auto"/>
            </w:tcBorders>
            <w:noWrap/>
            <w:tcMar>
              <w:top w:w="57" w:type="dxa"/>
              <w:bottom w:w="57" w:type="dxa"/>
            </w:tcMar>
            <w:vAlign w:val="center"/>
          </w:tcPr>
          <w:p w14:paraId="1807EC1D" w14:textId="77777777" w:rsidR="00977B82" w:rsidRDefault="00CE696C">
            <w:pPr>
              <w:jc w:val="center"/>
              <w:rPr>
                <w:rFonts w:ascii="Times New Roman" w:eastAsiaTheme="minorEastAsia" w:hAnsi="Times New Roman" w:cs="Times New Roman"/>
                <w:b/>
                <w:bCs/>
                <w:color w:val="auto"/>
                <w:szCs w:val="22"/>
              </w:rPr>
            </w:pPr>
            <w:r>
              <w:rPr>
                <w:rFonts w:ascii="Times New Roman" w:eastAsiaTheme="minorEastAsia" w:hAnsi="Times New Roman" w:cs="Times New Roman"/>
                <w:b/>
                <w:bCs/>
                <w:color w:val="auto"/>
                <w:szCs w:val="22"/>
              </w:rPr>
              <w:t>Tonnage</w:t>
            </w:r>
          </w:p>
        </w:tc>
        <w:tc>
          <w:tcPr>
            <w:tcW w:w="3692" w:type="pct"/>
            <w:tcBorders>
              <w:top w:val="single" w:sz="4" w:space="0" w:color="auto"/>
              <w:left w:val="single" w:sz="4" w:space="0" w:color="auto"/>
              <w:right w:val="single" w:sz="4" w:space="0" w:color="auto"/>
            </w:tcBorders>
            <w:tcMar>
              <w:top w:w="57" w:type="dxa"/>
              <w:bottom w:w="57" w:type="dxa"/>
            </w:tcMar>
            <w:vAlign w:val="center"/>
          </w:tcPr>
          <w:p w14:paraId="02F9C159" w14:textId="77777777" w:rsidR="00977B82" w:rsidRDefault="00CE696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color w:val="auto"/>
                <w:szCs w:val="22"/>
              </w:rPr>
            </w:pPr>
            <w:r>
              <w:rPr>
                <w:rFonts w:ascii="Times New Roman" w:eastAsiaTheme="minorEastAsia" w:hAnsi="Times New Roman" w:cs="Times New Roman"/>
                <w:b/>
                <w:bCs/>
                <w:color w:val="auto"/>
                <w:szCs w:val="22"/>
              </w:rPr>
              <w:t>Estimate</w:t>
            </w:r>
          </w:p>
        </w:tc>
      </w:tr>
      <w:tr w:rsidR="00977B82" w14:paraId="0D21669B" w14:textId="77777777" w:rsidTr="0097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left w:val="single" w:sz="4" w:space="0" w:color="auto"/>
              <w:right w:val="single" w:sz="4" w:space="0" w:color="auto"/>
            </w:tcBorders>
            <w:noWrap/>
          </w:tcPr>
          <w:p w14:paraId="075EFDF7" w14:textId="77777777" w:rsidR="00977B82" w:rsidRDefault="00CE696C">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2021</w:t>
            </w:r>
          </w:p>
        </w:tc>
        <w:tc>
          <w:tcPr>
            <w:tcW w:w="3692" w:type="pct"/>
            <w:tcBorders>
              <w:left w:val="single" w:sz="4" w:space="0" w:color="auto"/>
              <w:right w:val="single" w:sz="4" w:space="0" w:color="auto"/>
            </w:tcBorders>
            <w:shd w:val="clear" w:color="auto" w:fill="FFFFFF" w:themeFill="background1"/>
          </w:tcPr>
          <w:p w14:paraId="6241B09D" w14:textId="77777777" w:rsidR="00977B82" w:rsidRDefault="00CE696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rPr>
            </w:pPr>
            <w:r>
              <w:rPr>
                <w:rFonts w:ascii="Times New Roman" w:eastAsiaTheme="minorEastAsia" w:hAnsi="Times New Roman" w:cs="Times New Roman"/>
                <w:color w:val="auto"/>
              </w:rPr>
              <w:t>……………………………………….</w:t>
            </w:r>
          </w:p>
        </w:tc>
      </w:tr>
      <w:tr w:rsidR="00977B82" w14:paraId="0415AAC8" w14:textId="77777777" w:rsidTr="00977B82">
        <w:tc>
          <w:tcPr>
            <w:cnfStyle w:val="001000000000" w:firstRow="0" w:lastRow="0" w:firstColumn="1" w:lastColumn="0" w:oddVBand="0" w:evenVBand="0" w:oddHBand="0" w:evenHBand="0" w:firstRowFirstColumn="0" w:firstRowLastColumn="0" w:lastRowFirstColumn="0" w:lastRowLastColumn="0"/>
            <w:tcW w:w="1308" w:type="pct"/>
            <w:tcBorders>
              <w:left w:val="single" w:sz="4" w:space="0" w:color="auto"/>
              <w:right w:val="single" w:sz="4" w:space="0" w:color="auto"/>
            </w:tcBorders>
            <w:noWrap/>
          </w:tcPr>
          <w:p w14:paraId="556A0D8B" w14:textId="77777777" w:rsidR="00977B82" w:rsidRDefault="00CE696C">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2022</w:t>
            </w:r>
          </w:p>
        </w:tc>
        <w:tc>
          <w:tcPr>
            <w:tcW w:w="3692" w:type="pct"/>
            <w:tcBorders>
              <w:left w:val="single" w:sz="4" w:space="0" w:color="auto"/>
              <w:right w:val="single" w:sz="4" w:space="0" w:color="auto"/>
            </w:tcBorders>
            <w:shd w:val="clear" w:color="auto" w:fill="FFFFFF" w:themeFill="background1"/>
          </w:tcPr>
          <w:p w14:paraId="6096610A" w14:textId="77777777" w:rsidR="00977B82" w:rsidRDefault="00CE696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rPr>
            </w:pPr>
            <w:r>
              <w:rPr>
                <w:rFonts w:ascii="Times New Roman" w:eastAsiaTheme="minorEastAsia" w:hAnsi="Times New Roman" w:cs="Times New Roman"/>
                <w:color w:val="auto"/>
              </w:rPr>
              <w:t>……………………………………….</w:t>
            </w:r>
          </w:p>
        </w:tc>
      </w:tr>
      <w:tr w:rsidR="00977B82" w14:paraId="77AB9AE9" w14:textId="77777777" w:rsidTr="0097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left w:val="single" w:sz="4" w:space="0" w:color="auto"/>
              <w:right w:val="single" w:sz="4" w:space="0" w:color="auto"/>
            </w:tcBorders>
            <w:noWrap/>
          </w:tcPr>
          <w:p w14:paraId="4E456E95" w14:textId="77777777" w:rsidR="00977B82" w:rsidRDefault="00CE696C">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2023</w:t>
            </w:r>
          </w:p>
        </w:tc>
        <w:tc>
          <w:tcPr>
            <w:tcW w:w="3692" w:type="pct"/>
            <w:tcBorders>
              <w:left w:val="single" w:sz="4" w:space="0" w:color="auto"/>
              <w:right w:val="single" w:sz="4" w:space="0" w:color="auto"/>
            </w:tcBorders>
            <w:shd w:val="clear" w:color="auto" w:fill="FFFFFF" w:themeFill="background1"/>
          </w:tcPr>
          <w:p w14:paraId="58B01F3F" w14:textId="77777777" w:rsidR="00977B82" w:rsidRDefault="00CE696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rPr>
            </w:pPr>
            <w:r>
              <w:rPr>
                <w:rFonts w:ascii="Times New Roman" w:eastAsiaTheme="minorEastAsia" w:hAnsi="Times New Roman" w:cs="Times New Roman"/>
                <w:color w:val="auto"/>
              </w:rPr>
              <w:t>……………………………………….</w:t>
            </w:r>
          </w:p>
        </w:tc>
      </w:tr>
      <w:tr w:rsidR="00977B82" w14:paraId="000B33AA" w14:textId="77777777" w:rsidTr="00977B82">
        <w:tc>
          <w:tcPr>
            <w:cnfStyle w:val="001000000000" w:firstRow="0" w:lastRow="0" w:firstColumn="1" w:lastColumn="0" w:oddVBand="0" w:evenVBand="0" w:oddHBand="0" w:evenHBand="0" w:firstRowFirstColumn="0" w:firstRowLastColumn="0" w:lastRowFirstColumn="0" w:lastRowLastColumn="0"/>
            <w:tcW w:w="1308" w:type="pct"/>
            <w:tcBorders>
              <w:left w:val="single" w:sz="4" w:space="0" w:color="auto"/>
              <w:right w:val="single" w:sz="4" w:space="0" w:color="auto"/>
            </w:tcBorders>
            <w:noWrap/>
          </w:tcPr>
          <w:p w14:paraId="0D62D37C" w14:textId="77777777" w:rsidR="00977B82" w:rsidRDefault="00CE696C">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2024</w:t>
            </w:r>
          </w:p>
        </w:tc>
        <w:tc>
          <w:tcPr>
            <w:tcW w:w="3692" w:type="pct"/>
            <w:tcBorders>
              <w:left w:val="single" w:sz="4" w:space="0" w:color="auto"/>
              <w:right w:val="single" w:sz="4" w:space="0" w:color="auto"/>
            </w:tcBorders>
            <w:shd w:val="clear" w:color="auto" w:fill="FFFFFF" w:themeFill="background1"/>
          </w:tcPr>
          <w:p w14:paraId="2357F2D2" w14:textId="77777777" w:rsidR="00977B82" w:rsidRDefault="00CE696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rPr>
            </w:pPr>
            <w:r>
              <w:rPr>
                <w:rFonts w:ascii="Times New Roman" w:eastAsiaTheme="minorEastAsia" w:hAnsi="Times New Roman" w:cs="Times New Roman"/>
                <w:color w:val="auto"/>
              </w:rPr>
              <w:t>……………………………………….</w:t>
            </w:r>
          </w:p>
        </w:tc>
      </w:tr>
      <w:tr w:rsidR="00977B82" w14:paraId="43E2D6F8" w14:textId="77777777" w:rsidTr="0097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left w:val="single" w:sz="4" w:space="0" w:color="auto"/>
              <w:right w:val="single" w:sz="4" w:space="0" w:color="auto"/>
            </w:tcBorders>
            <w:noWrap/>
          </w:tcPr>
          <w:p w14:paraId="48C9BE46" w14:textId="77777777" w:rsidR="00977B82" w:rsidRDefault="00CE696C">
            <w:pPr>
              <w:jc w:val="center"/>
              <w:rPr>
                <w:rFonts w:ascii="Times New Roman" w:eastAsiaTheme="minorEastAsia" w:hAnsi="Times New Roman" w:cs="Times New Roman"/>
                <w:color w:val="auto"/>
              </w:rPr>
            </w:pPr>
            <w:r>
              <w:rPr>
                <w:rFonts w:ascii="Times New Roman" w:eastAsiaTheme="minorEastAsia" w:hAnsi="Times New Roman" w:cs="Times New Roman"/>
                <w:color w:val="auto"/>
              </w:rPr>
              <w:t>2025</w:t>
            </w:r>
          </w:p>
        </w:tc>
        <w:tc>
          <w:tcPr>
            <w:tcW w:w="3692" w:type="pct"/>
            <w:tcBorders>
              <w:left w:val="single" w:sz="4" w:space="0" w:color="auto"/>
              <w:right w:val="single" w:sz="4" w:space="0" w:color="auto"/>
            </w:tcBorders>
            <w:shd w:val="clear" w:color="auto" w:fill="FFFFFF" w:themeFill="background1"/>
          </w:tcPr>
          <w:p w14:paraId="7E956223" w14:textId="77777777" w:rsidR="00977B82" w:rsidRDefault="00CE696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rPr>
            </w:pPr>
            <w:r>
              <w:rPr>
                <w:rFonts w:ascii="Times New Roman" w:eastAsiaTheme="minorEastAsia" w:hAnsi="Times New Roman" w:cs="Times New Roman"/>
                <w:color w:val="auto"/>
              </w:rPr>
              <w:t>……………………………………….</w:t>
            </w:r>
          </w:p>
        </w:tc>
      </w:tr>
      <w:tr w:rsidR="00977B82" w14:paraId="494A54CF" w14:textId="77777777" w:rsidTr="00977B82">
        <w:tc>
          <w:tcPr>
            <w:cnfStyle w:val="001000000000" w:firstRow="0" w:lastRow="0" w:firstColumn="1" w:lastColumn="0" w:oddVBand="0" w:evenVBand="0" w:oddHBand="0" w:evenHBand="0" w:firstRowFirstColumn="0" w:firstRowLastColumn="0" w:lastRowFirstColumn="0" w:lastRowLastColumn="0"/>
            <w:tcW w:w="1308" w:type="pct"/>
            <w:tcBorders>
              <w:left w:val="single" w:sz="4" w:space="0" w:color="auto"/>
              <w:bottom w:val="single" w:sz="4" w:space="0" w:color="auto"/>
              <w:right w:val="single" w:sz="4" w:space="0" w:color="auto"/>
            </w:tcBorders>
            <w:noWrap/>
          </w:tcPr>
          <w:p w14:paraId="705DC47A" w14:textId="77777777" w:rsidR="00977B82" w:rsidRDefault="00CE696C">
            <w:pPr>
              <w:jc w:val="center"/>
              <w:rPr>
                <w:rFonts w:ascii="Times New Roman" w:eastAsiaTheme="minorEastAsia" w:hAnsi="Times New Roman" w:cs="Times New Roman"/>
              </w:rPr>
            </w:pPr>
            <w:r>
              <w:rPr>
                <w:rFonts w:ascii="Times New Roman" w:eastAsiaTheme="minorEastAsia" w:hAnsi="Times New Roman" w:cs="Times New Roman"/>
              </w:rPr>
              <w:t>2026</w:t>
            </w:r>
          </w:p>
        </w:tc>
        <w:tc>
          <w:tcPr>
            <w:tcW w:w="3692" w:type="pct"/>
            <w:tcBorders>
              <w:left w:val="single" w:sz="4" w:space="0" w:color="auto"/>
              <w:bottom w:val="single" w:sz="4" w:space="0" w:color="auto"/>
              <w:right w:val="single" w:sz="4" w:space="0" w:color="auto"/>
            </w:tcBorders>
            <w:shd w:val="clear" w:color="auto" w:fill="FFFFFF" w:themeFill="background1"/>
          </w:tcPr>
          <w:p w14:paraId="58477B19" w14:textId="77777777" w:rsidR="00977B82" w:rsidRDefault="00CE696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Pr>
                <w:rFonts w:ascii="Times New Roman" w:eastAsiaTheme="minorEastAsia" w:hAnsi="Times New Roman" w:cs="Times New Roman"/>
                <w:color w:val="auto"/>
              </w:rPr>
              <w:t>……………………………………….</w:t>
            </w:r>
          </w:p>
        </w:tc>
      </w:tr>
    </w:tbl>
    <w:p w14:paraId="43A4642A" w14:textId="77777777" w:rsidR="00977B82" w:rsidRDefault="00977B82"/>
    <w:p w14:paraId="14A3665E" w14:textId="77777777" w:rsidR="00977B82" w:rsidRDefault="00CE696C">
      <w:r>
        <w:t xml:space="preserve">If </w:t>
      </w:r>
      <w:r>
        <w:rPr>
          <w:u w:val="single"/>
        </w:rPr>
        <w:t>in addition</w:t>
      </w:r>
      <w:r>
        <w:t xml:space="preserve"> to the above uses, DU is also interested in Use 3</w:t>
      </w:r>
      <w:r>
        <w:rPr>
          <w:rStyle w:val="Voetnootmarkering"/>
        </w:rPr>
        <w:footnoteReference w:id="8"/>
      </w:r>
      <w:r>
        <w:t xml:space="preserve"> (functional plating with decorative character) (</w:t>
      </w:r>
      <w:r>
        <w:rPr>
          <w:i/>
          <w:iCs/>
        </w:rPr>
        <w:t>mark the box</w:t>
      </w:r>
      <w:r>
        <w:t>)</w:t>
      </w:r>
      <w:r>
        <w:tab/>
      </w:r>
      <w:r>
        <w:sym w:font="Wingdings" w:char="F0A8"/>
      </w:r>
      <w:r>
        <w:t xml:space="preserve">  YES</w:t>
      </w:r>
    </w:p>
    <w:p w14:paraId="5B9AE615" w14:textId="77777777" w:rsidR="00977B82" w:rsidRDefault="00977B82"/>
    <w:p w14:paraId="6079ADD6" w14:textId="77777777" w:rsidR="00977B82" w:rsidRDefault="00CE696C">
      <w:r>
        <w:t>Annual tonnage affected by Use 3: …………………………………………..  (</w:t>
      </w:r>
      <w:r>
        <w:rPr>
          <w:i/>
          <w:iCs/>
        </w:rPr>
        <w:t>fill in the tonnage).</w:t>
      </w:r>
      <w:r>
        <w:t xml:space="preserve">  </w:t>
      </w:r>
    </w:p>
    <w:p w14:paraId="370ECE66" w14:textId="77777777" w:rsidR="00977B82" w:rsidRDefault="00CE696C">
      <w:r>
        <w:t>Substitution of Use 3 is planned for the year ……………………</w:t>
      </w:r>
      <w:r>
        <w:t>………………  (</w:t>
      </w:r>
      <w:r>
        <w:rPr>
          <w:i/>
          <w:iCs/>
        </w:rPr>
        <w:t>fill in the year</w:t>
      </w:r>
      <w:r>
        <w:t>).</w:t>
      </w:r>
    </w:p>
    <w:p w14:paraId="4E10E8DC" w14:textId="77777777" w:rsidR="00977B82" w:rsidRDefault="00977B82"/>
    <w:p w14:paraId="79C21689" w14:textId="77777777" w:rsidR="00977B82" w:rsidRDefault="00CE696C">
      <w:r>
        <w:rPr>
          <w:b/>
          <w:u w:val="single"/>
        </w:rPr>
        <w:t>Additional information</w:t>
      </w:r>
      <w:r>
        <w:t>:</w:t>
      </w:r>
    </w:p>
    <w:p w14:paraId="25E78513" w14:textId="77777777" w:rsidR="00977B82" w:rsidRDefault="00977B82"/>
    <w:p w14:paraId="3DE8F4C2" w14:textId="77777777" w:rsidR="00977B82" w:rsidRDefault="00CE696C">
      <w:pPr>
        <w:ind w:left="862" w:hanging="720"/>
      </w:pPr>
      <w:r>
        <w:sym w:font="Wingdings" w:char="F0A8"/>
      </w:r>
      <w:r>
        <w:tab/>
        <w:t>Interested in United Kingdom REACH authorization for the above Uses (Note: Not yet decided whether CTACSub2 will file for authorization in the UK in 2023).</w:t>
      </w:r>
    </w:p>
    <w:p w14:paraId="2D027B90" w14:textId="77777777" w:rsidR="00977B82" w:rsidRDefault="00977B82"/>
    <w:p w14:paraId="534B08EC" w14:textId="77777777" w:rsidR="00977B82" w:rsidRDefault="00977B82"/>
    <w:p w14:paraId="00A215C3" w14:textId="77777777" w:rsidR="00977B82" w:rsidRDefault="00977B82"/>
    <w:p w14:paraId="65298D04" w14:textId="77777777" w:rsidR="00977B82" w:rsidRDefault="00977B82"/>
    <w:p w14:paraId="0613AE9F" w14:textId="77777777" w:rsidR="00977B82" w:rsidRDefault="00CE696C">
      <w:r>
        <w:t>DU is kindly requested to provide invoic</w:t>
      </w:r>
      <w:r>
        <w:t>ing details (</w:t>
      </w:r>
      <w:r>
        <w:rPr>
          <w:i/>
          <w:iCs/>
        </w:rPr>
        <w:t>entity name, complete address and VAT number</w:t>
      </w:r>
      <w:r>
        <w:t>)</w:t>
      </w:r>
    </w:p>
    <w:p w14:paraId="3C1EB260" w14:textId="77777777" w:rsidR="00977B82" w:rsidRDefault="00977B8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77B82" w14:paraId="274E30A0" w14:textId="77777777">
        <w:trPr>
          <w:trHeight w:val="253"/>
        </w:trPr>
        <w:tc>
          <w:tcPr>
            <w:tcW w:w="9061" w:type="dxa"/>
            <w:tcMar>
              <w:top w:w="113" w:type="dxa"/>
              <w:bottom w:w="113" w:type="dxa"/>
            </w:tcMar>
            <w:vAlign w:val="center"/>
          </w:tcPr>
          <w:p w14:paraId="00ADD197" w14:textId="77777777" w:rsidR="00977B82" w:rsidRDefault="00CE696C">
            <w:pPr>
              <w:rPr>
                <w:rFonts w:eastAsia="MS Mincho"/>
              </w:rPr>
            </w:pPr>
            <w:r>
              <w:rPr>
                <w:rFonts w:eastAsia="MS Mincho"/>
              </w:rPr>
              <w:t>………………………………………………………………………………………………………….</w:t>
            </w:r>
          </w:p>
        </w:tc>
      </w:tr>
      <w:tr w:rsidR="00977B82" w14:paraId="5096677F" w14:textId="77777777">
        <w:trPr>
          <w:trHeight w:val="253"/>
        </w:trPr>
        <w:tc>
          <w:tcPr>
            <w:tcW w:w="9061" w:type="dxa"/>
            <w:tcMar>
              <w:top w:w="113" w:type="dxa"/>
              <w:bottom w:w="113" w:type="dxa"/>
            </w:tcMar>
            <w:vAlign w:val="center"/>
          </w:tcPr>
          <w:p w14:paraId="7DAC2863" w14:textId="77777777" w:rsidR="00977B82" w:rsidRDefault="00CE696C">
            <w:pPr>
              <w:jc w:val="left"/>
              <w:rPr>
                <w:rFonts w:eastAsia="MS Mincho"/>
              </w:rPr>
            </w:pPr>
            <w:r>
              <w:rPr>
                <w:rFonts w:eastAsia="MS Mincho"/>
              </w:rPr>
              <w:t>………………………………………………………………………………………………………….</w:t>
            </w:r>
          </w:p>
        </w:tc>
      </w:tr>
      <w:tr w:rsidR="00977B82" w14:paraId="59BF2AF5" w14:textId="77777777">
        <w:trPr>
          <w:trHeight w:val="253"/>
        </w:trPr>
        <w:tc>
          <w:tcPr>
            <w:tcW w:w="9061" w:type="dxa"/>
            <w:tcMar>
              <w:top w:w="113" w:type="dxa"/>
              <w:bottom w:w="113" w:type="dxa"/>
            </w:tcMar>
            <w:vAlign w:val="center"/>
          </w:tcPr>
          <w:p w14:paraId="350D493B" w14:textId="77777777" w:rsidR="00977B82" w:rsidRDefault="00CE696C">
            <w:pPr>
              <w:jc w:val="left"/>
              <w:rPr>
                <w:rFonts w:eastAsia="MS Mincho"/>
              </w:rPr>
            </w:pPr>
            <w:r>
              <w:rPr>
                <w:rFonts w:eastAsia="MS Mincho"/>
              </w:rPr>
              <w:t>………………………………………………………………………………………………………….</w:t>
            </w:r>
          </w:p>
        </w:tc>
      </w:tr>
    </w:tbl>
    <w:p w14:paraId="15DFE0A2" w14:textId="77777777" w:rsidR="00977B82" w:rsidRDefault="00977B82"/>
    <w:p w14:paraId="48B96258" w14:textId="77777777" w:rsidR="00977B82" w:rsidRDefault="00CE696C">
      <w:pPr>
        <w:rPr>
          <w:i/>
        </w:rPr>
      </w:pPr>
      <w:r>
        <w:rPr>
          <w:i/>
        </w:rPr>
        <w:t xml:space="preserve">Completed sign-up forms are to be sent to the attention of </w:t>
      </w:r>
      <w:hyperlink r:id="rId7" w:history="1">
        <w:r>
          <w:rPr>
            <w:rStyle w:val="Hyperlink"/>
            <w:i/>
          </w:rPr>
          <w:t>ReachTeam@jonesday.com</w:t>
        </w:r>
      </w:hyperlink>
      <w:r>
        <w:rPr>
          <w:i/>
        </w:rPr>
        <w:t xml:space="preserve"> by </w:t>
      </w:r>
      <w:r>
        <w:rPr>
          <w:b/>
          <w:i/>
          <w:u w:val="single"/>
        </w:rPr>
        <w:t>March 31, 2021</w:t>
      </w:r>
      <w:r>
        <w:rPr>
          <w:i/>
        </w:rPr>
        <w:t xml:space="preserve"> at the latest.  On receipt of this information, Jones Day will acknowledge receipt and issue a proforma notice to be paid by DU by </w:t>
      </w:r>
      <w:r>
        <w:rPr>
          <w:b/>
          <w:i/>
          <w:u w:val="single"/>
        </w:rPr>
        <w:t>March 31, 2021</w:t>
      </w:r>
      <w:r>
        <w:rPr>
          <w:i/>
        </w:rPr>
        <w:t>.</w:t>
      </w:r>
    </w:p>
    <w:p w14:paraId="0AFEAC5A" w14:textId="77777777" w:rsidR="00977B82" w:rsidRDefault="00977B82">
      <w:pPr>
        <w:rPr>
          <w:i/>
        </w:rPr>
      </w:pPr>
    </w:p>
    <w:p w14:paraId="6726BF20" w14:textId="77777777" w:rsidR="00977B82" w:rsidRDefault="00CE696C">
      <w:pPr>
        <w:rPr>
          <w:i/>
        </w:rPr>
      </w:pPr>
      <w:r>
        <w:rPr>
          <w:i/>
        </w:rPr>
        <w:t>For questions related to the above Communication, you can call Ursula Schliessner at 32-2-6451460 or mail u</w:t>
      </w:r>
      <w:r>
        <w:rPr>
          <w:i/>
        </w:rPr>
        <w:t>schliessner@jonesday.com.</w:t>
      </w:r>
    </w:p>
    <w:p w14:paraId="547F24F0" w14:textId="77777777" w:rsidR="00977B82" w:rsidRDefault="00977B82">
      <w:pPr>
        <w:rPr>
          <w:i/>
        </w:rPr>
      </w:pPr>
    </w:p>
    <w:p w14:paraId="2CB8DDC3" w14:textId="77777777" w:rsidR="00977B82" w:rsidRDefault="00CE696C">
      <w:pPr>
        <w:jc w:val="center"/>
        <w:rPr>
          <w:iCs/>
        </w:rPr>
      </w:pPr>
      <w:r>
        <w:rPr>
          <w:iCs/>
        </w:rPr>
        <w:t>*</w:t>
      </w:r>
      <w:r>
        <w:rPr>
          <w:iCs/>
        </w:rPr>
        <w:tab/>
        <w:t>*</w:t>
      </w:r>
      <w:r>
        <w:rPr>
          <w:iCs/>
        </w:rPr>
        <w:tab/>
        <w:t>*</w:t>
      </w:r>
    </w:p>
    <w:sectPr w:rsidR="00977B82">
      <w:headerReference w:type="default" r:id="rId8"/>
      <w:footerReference w:type="default" r:id="rId9"/>
      <w:footerReference w:type="first" r:id="rId10"/>
      <w:pgSz w:w="11907" w:h="16840" w:code="9"/>
      <w:pgMar w:top="1134" w:right="1418" w:bottom="567" w:left="1418" w:header="72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E87E0" w14:textId="77777777" w:rsidR="00CE696C" w:rsidRDefault="00CE696C">
      <w:r>
        <w:separator/>
      </w:r>
    </w:p>
    <w:p w14:paraId="5FBF5BD6" w14:textId="77777777" w:rsidR="00CE696C" w:rsidRDefault="00CE696C"/>
  </w:endnote>
  <w:endnote w:type="continuationSeparator" w:id="0">
    <w:p w14:paraId="02A66DEF" w14:textId="77777777" w:rsidR="00CE696C" w:rsidRDefault="00CE696C">
      <w:r>
        <w:continuationSeparator/>
      </w:r>
    </w:p>
    <w:p w14:paraId="45D42278" w14:textId="77777777" w:rsidR="00CE696C" w:rsidRDefault="00CE6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E909" w14:textId="77777777" w:rsidR="00977B82" w:rsidRDefault="00977B82">
    <w:pPr>
      <w:pStyle w:val="Voettekst"/>
      <w:spacing w:line="200" w:lineRule="exact"/>
      <w:jc w:val="left"/>
    </w:pPr>
  </w:p>
  <w:p w14:paraId="5C87CED1" w14:textId="77777777" w:rsidR="00977B82" w:rsidRDefault="00CE696C">
    <w:pPr>
      <w:pStyle w:val="Voettekst"/>
      <w:spacing w:line="200" w:lineRule="exact"/>
      <w:jc w:val="left"/>
    </w:pPr>
    <w:r>
      <w:rPr>
        <w:rStyle w:val="zzmpTrailerItem"/>
      </w:rPr>
      <w:t>EUI-1208307096v4</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9C6B" w14:textId="77777777" w:rsidR="00977B82" w:rsidRDefault="00977B82">
    <w:pPr>
      <w:pStyle w:val="Voettekst"/>
      <w:spacing w:line="200" w:lineRule="exact"/>
      <w:jc w:val="left"/>
    </w:pPr>
  </w:p>
  <w:p w14:paraId="1BC77B02" w14:textId="77777777" w:rsidR="00977B82" w:rsidRDefault="00CE696C">
    <w:pPr>
      <w:pStyle w:val="Voettekst"/>
      <w:spacing w:line="200" w:lineRule="exact"/>
      <w:jc w:val="left"/>
    </w:pPr>
    <w:r>
      <w:rPr>
        <w:rStyle w:val="zzmpTrailerItem"/>
      </w:rPr>
      <w:t>EUI-1208307096v4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2B34" w14:textId="77777777" w:rsidR="00CE696C" w:rsidRDefault="00CE696C">
      <w:pPr>
        <w:spacing w:after="60"/>
      </w:pPr>
      <w:r>
        <w:separator/>
      </w:r>
    </w:p>
  </w:footnote>
  <w:footnote w:type="continuationSeparator" w:id="0">
    <w:p w14:paraId="165A7A22" w14:textId="77777777" w:rsidR="00CE696C" w:rsidRDefault="00CE696C">
      <w:r>
        <w:continuationSeparator/>
      </w:r>
    </w:p>
    <w:p w14:paraId="280C398D" w14:textId="77777777" w:rsidR="00CE696C" w:rsidRDefault="00CE696C"/>
  </w:footnote>
  <w:footnote w:id="1">
    <w:p w14:paraId="0D2CCFD5" w14:textId="77777777" w:rsidR="00977B82" w:rsidRDefault="00CE696C">
      <w:pPr>
        <w:pStyle w:val="Voetnoottekst"/>
      </w:pPr>
      <w:r>
        <w:rPr>
          <w:rStyle w:val="Voetnootmarkering"/>
        </w:rPr>
        <w:footnoteRef/>
      </w:r>
      <w:r>
        <w:t xml:space="preserve"> </w:t>
      </w:r>
      <w:r>
        <w:tab/>
        <w:t xml:space="preserve">See press release and Q&amp;A at </w:t>
      </w:r>
      <w:hyperlink r:id="rId1" w:history="1">
        <w:r>
          <w:rPr>
            <w:rStyle w:val="Hyperlink"/>
          </w:rPr>
          <w:t>www.jonesdayreach.com</w:t>
        </w:r>
      </w:hyperlink>
      <w:r>
        <w:t>.</w:t>
      </w:r>
    </w:p>
  </w:footnote>
  <w:footnote w:id="2">
    <w:p w14:paraId="0B2DC93E" w14:textId="77777777" w:rsidR="00977B82" w:rsidRDefault="00CE696C">
      <w:pPr>
        <w:pStyle w:val="Voetnoottekst"/>
        <w:spacing w:after="0" w:line="240" w:lineRule="auto"/>
        <w:ind w:left="720" w:hanging="720"/>
      </w:pPr>
      <w:r>
        <w:rPr>
          <w:rStyle w:val="Voetnootmarkering"/>
        </w:rPr>
        <w:footnoteRef/>
      </w:r>
      <w:r>
        <w:t xml:space="preserve"> </w:t>
      </w:r>
      <w:r>
        <w:tab/>
      </w:r>
      <w:proofErr w:type="spellStart"/>
      <w:r>
        <w:t>Elementis</w:t>
      </w:r>
      <w:proofErr w:type="spellEnd"/>
      <w:r>
        <w:t xml:space="preserve"> Chromium LLP (replaced January 1, 2021 due to Brexit by </w:t>
      </w:r>
      <w:proofErr w:type="spellStart"/>
      <w:r>
        <w:t>Elementis</w:t>
      </w:r>
      <w:proofErr w:type="spellEnd"/>
      <w:r>
        <w:t xml:space="preserve"> Minerals BV), SODA SANAYİİ A.Ş., </w:t>
      </w:r>
      <w:proofErr w:type="spellStart"/>
      <w:r>
        <w:t>Chemservice</w:t>
      </w:r>
      <w:proofErr w:type="spellEnd"/>
      <w:r>
        <w:t xml:space="preserve"> GmbH (as OR for Brother </w:t>
      </w:r>
      <w:proofErr w:type="spellStart"/>
      <w:r>
        <w:t>Cisa</w:t>
      </w:r>
      <w:proofErr w:type="spellEnd"/>
      <w:r>
        <w:t xml:space="preserve">), </w:t>
      </w:r>
      <w:proofErr w:type="spellStart"/>
      <w:r>
        <w:t>MacDermid</w:t>
      </w:r>
      <w:proofErr w:type="spellEnd"/>
      <w:r>
        <w:t xml:space="preserve"> </w:t>
      </w:r>
      <w:proofErr w:type="spellStart"/>
      <w:r>
        <w:t>Enthone</w:t>
      </w:r>
      <w:proofErr w:type="spellEnd"/>
      <w:r>
        <w:t xml:space="preserve"> GmbH and </w:t>
      </w:r>
      <w:proofErr w:type="spellStart"/>
      <w:r>
        <w:t>Prospere</w:t>
      </w:r>
      <w:proofErr w:type="spellEnd"/>
      <w:r>
        <w:t xml:space="preserve"> Chemical Logistic OÜ.</w:t>
      </w:r>
    </w:p>
  </w:footnote>
  <w:footnote w:id="3">
    <w:p w14:paraId="768DFF1A" w14:textId="77777777" w:rsidR="00977B82" w:rsidRDefault="00CE696C">
      <w:pPr>
        <w:pStyle w:val="Voetnoottekst"/>
      </w:pPr>
      <w:r>
        <w:rPr>
          <w:rStyle w:val="Voetnootmarkering"/>
        </w:rPr>
        <w:footnoteRef/>
      </w:r>
      <w:r>
        <w:t xml:space="preserve"> </w:t>
      </w:r>
      <w:r>
        <w:tab/>
      </w:r>
      <w:proofErr w:type="spellStart"/>
      <w:r>
        <w:t>ReachLaw</w:t>
      </w:r>
      <w:proofErr w:type="spellEnd"/>
      <w:r>
        <w:t xml:space="preserve"> Ltd. (as OR for JSC NPCC) has joined CTACSu</w:t>
      </w:r>
      <w:r>
        <w:t>b as Member as of January 1, 2021.</w:t>
      </w:r>
    </w:p>
  </w:footnote>
  <w:footnote w:id="4">
    <w:p w14:paraId="40806F66" w14:textId="77777777" w:rsidR="00977B82" w:rsidRDefault="00CE696C">
      <w:pPr>
        <w:pStyle w:val="Voetnoottekst"/>
        <w:spacing w:after="0" w:line="240" w:lineRule="auto"/>
        <w:ind w:left="720" w:hanging="720"/>
      </w:pPr>
      <w:r>
        <w:rPr>
          <w:rStyle w:val="Voetnootmarkering"/>
        </w:rPr>
        <w:footnoteRef/>
      </w:r>
      <w:r>
        <w:t xml:space="preserve"> </w:t>
      </w:r>
      <w:r>
        <w:tab/>
        <w:t>www.jonesdayreach.com.</w:t>
      </w:r>
    </w:p>
  </w:footnote>
  <w:footnote w:id="5">
    <w:p w14:paraId="1A3E65B6" w14:textId="77777777" w:rsidR="00977B82" w:rsidRDefault="00CE696C">
      <w:pPr>
        <w:pStyle w:val="Voetnoottekst"/>
        <w:spacing w:after="0" w:line="240" w:lineRule="auto"/>
        <w:ind w:left="720" w:hanging="720"/>
      </w:pPr>
      <w:r>
        <w:rPr>
          <w:rStyle w:val="Voetnootmarkering"/>
        </w:rPr>
        <w:footnoteRef/>
      </w:r>
      <w:r>
        <w:t xml:space="preserve"> </w:t>
      </w:r>
      <w:r>
        <w:tab/>
        <w:t>The amounts stated are net amounts, excl. any potentially applicable tax, which would have to be added.</w:t>
      </w:r>
    </w:p>
  </w:footnote>
  <w:footnote w:id="6">
    <w:p w14:paraId="66D0BFCC" w14:textId="77777777" w:rsidR="00977B82" w:rsidRDefault="00CE696C">
      <w:pPr>
        <w:pStyle w:val="Voetnoottekst"/>
        <w:spacing w:after="0" w:line="240" w:lineRule="auto"/>
        <w:ind w:left="720" w:hanging="720"/>
      </w:pPr>
      <w:r>
        <w:rPr>
          <w:rStyle w:val="Voetnootmarkering"/>
        </w:rPr>
        <w:footnoteRef/>
      </w:r>
      <w:r>
        <w:tab/>
        <w:t xml:space="preserve">Definition as per Commission Recommendation 2003/361/EC; To be calculated at the date </w:t>
      </w:r>
      <w:r>
        <w:t>of February 15, 2021 or at the joining date for late joiners and market newcomers.</w:t>
      </w:r>
    </w:p>
    <w:p w14:paraId="715AD64A" w14:textId="77777777" w:rsidR="00977B82" w:rsidRDefault="00CE696C">
      <w:pPr>
        <w:pStyle w:val="Voetnoottekst"/>
        <w:spacing w:after="0" w:line="240" w:lineRule="auto"/>
        <w:ind w:left="720" w:hanging="720"/>
      </w:pPr>
      <w:r>
        <w:tab/>
      </w:r>
      <w:hyperlink r:id="rId2" w:history="1">
        <w:r>
          <w:rPr>
            <w:rStyle w:val="Hyperlink"/>
          </w:rPr>
          <w:t>https://eur-lex.europa.eu/LexUriServ/LexUriServ.do?uri=OJ:L:2003:124:0</w:t>
        </w:r>
        <w:r>
          <w:rPr>
            <w:rStyle w:val="Hyperlink"/>
          </w:rPr>
          <w:t>036:0041:en:PDF</w:t>
        </w:r>
      </w:hyperlink>
    </w:p>
    <w:p w14:paraId="44DBC546" w14:textId="77777777" w:rsidR="00977B82" w:rsidRDefault="00CE696C">
      <w:pPr>
        <w:pStyle w:val="Voetnoottekst"/>
        <w:spacing w:after="0" w:line="240" w:lineRule="auto"/>
        <w:ind w:left="720" w:hanging="720"/>
      </w:pPr>
      <w:r>
        <w:tab/>
      </w:r>
      <w:hyperlink r:id="rId3" w:history="1">
        <w:r>
          <w:rPr>
            <w:rStyle w:val="Hyperlink"/>
          </w:rPr>
          <w:t>https://ec.europa.eu/regional_policy/sources/conferences/state-aid/sme/smedefinitionguide_en.pdf</w:t>
        </w:r>
      </w:hyperlink>
    </w:p>
  </w:footnote>
  <w:footnote w:id="7">
    <w:p w14:paraId="3E2BF9F4" w14:textId="77777777" w:rsidR="00977B82" w:rsidRDefault="00CE696C">
      <w:pPr>
        <w:pStyle w:val="Voetnoottekst"/>
        <w:spacing w:after="0" w:line="240" w:lineRule="auto"/>
        <w:ind w:left="720" w:hanging="720"/>
      </w:pPr>
      <w:r>
        <w:rPr>
          <w:rStyle w:val="Voetnootmarkering"/>
        </w:rPr>
        <w:footnoteRef/>
      </w:r>
      <w:r>
        <w:t xml:space="preserve"> </w:t>
      </w:r>
      <w:r>
        <w:tab/>
        <w:t xml:space="preserve">This information shall be </w:t>
      </w:r>
      <w:r>
        <w:t>kept confidential by Jones Day and will not be released to CTACSub2 Members.</w:t>
      </w:r>
    </w:p>
  </w:footnote>
  <w:footnote w:id="8">
    <w:p w14:paraId="3820D238" w14:textId="77777777" w:rsidR="00977B82" w:rsidRDefault="00CE696C">
      <w:pPr>
        <w:pStyle w:val="Voetnoottekst"/>
        <w:spacing w:after="0" w:line="240" w:lineRule="auto"/>
        <w:ind w:left="720" w:hanging="720"/>
      </w:pPr>
      <w:r>
        <w:rPr>
          <w:rStyle w:val="Voetnootmarkering"/>
        </w:rPr>
        <w:footnoteRef/>
      </w:r>
      <w:r>
        <w:t xml:space="preserve"> </w:t>
      </w:r>
      <w:r>
        <w:tab/>
        <w:t>Please note that CTACSub2</w:t>
      </w:r>
      <w:r>
        <w:t xml:space="preserve"> will at this time not do any work on Use 3 as the Use 3 authorization has not been granted as yet (review of the submitted Substitution Plan is pending).  However, CTACSub2 is interested to know whether in addition to the other Uses, company is also curre</w:t>
      </w:r>
      <w:r>
        <w:t>ntly involved in Use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23F9" w14:textId="77777777" w:rsidR="00977B82" w:rsidRDefault="00CE696C">
    <w:pPr>
      <w:pStyle w:val="Koptekst"/>
      <w:rPr>
        <w:sz w:val="20"/>
        <w:szCs w:val="16"/>
      </w:rPr>
    </w:pPr>
    <w:r>
      <w:rPr>
        <w:sz w:val="20"/>
        <w:szCs w:val="16"/>
      </w:rPr>
      <w:t xml:space="preserve">Page </w:t>
    </w:r>
    <w:r>
      <w:rPr>
        <w:sz w:val="20"/>
        <w:szCs w:val="16"/>
      </w:rPr>
      <w:fldChar w:fldCharType="begin"/>
    </w:r>
    <w:r>
      <w:rPr>
        <w:sz w:val="20"/>
        <w:szCs w:val="16"/>
      </w:rPr>
      <w:instrText xml:space="preserve"> PAGE </w:instrText>
    </w:r>
    <w:r>
      <w:rPr>
        <w:sz w:val="20"/>
        <w:szCs w:val="16"/>
      </w:rPr>
      <w:fldChar w:fldCharType="separate"/>
    </w:r>
    <w:r>
      <w:rPr>
        <w:noProof/>
        <w:sz w:val="20"/>
        <w:szCs w:val="16"/>
      </w:rPr>
      <w:t>5</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Pr>
        <w:noProof/>
        <w:sz w:val="20"/>
        <w:szCs w:val="16"/>
      </w:rPr>
      <w:t>6</w:t>
    </w:r>
    <w:r>
      <w:rPr>
        <w:sz w:val="20"/>
        <w:szCs w:val="16"/>
      </w:rPr>
      <w:fldChar w:fldCharType="end"/>
    </w:r>
  </w:p>
  <w:p w14:paraId="1272F59B" w14:textId="77777777" w:rsidR="00977B82" w:rsidRDefault="00977B82">
    <w:pPr>
      <w:pStyle w:val="Koptekst"/>
      <w:rPr>
        <w:sz w:val="20"/>
        <w:szCs w:val="16"/>
      </w:rPr>
    </w:pPr>
  </w:p>
  <w:p w14:paraId="5F44EF3B" w14:textId="77777777" w:rsidR="00977B82" w:rsidRDefault="00977B82">
    <w:pPr>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96FC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C854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5C99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6043D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74B0F19A"/>
    <w:lvl w:ilvl="0">
      <w:start w:val="1"/>
      <w:numFmt w:val="decimal"/>
      <w:pStyle w:val="Lijstnummering"/>
      <w:lvlText w:val="%1."/>
      <w:lvlJc w:val="left"/>
      <w:pPr>
        <w:tabs>
          <w:tab w:val="num" w:pos="360"/>
        </w:tabs>
        <w:ind w:left="360" w:hanging="360"/>
      </w:pPr>
    </w:lvl>
  </w:abstractNum>
  <w:abstractNum w:abstractNumId="5" w15:restartNumberingAfterBreak="0">
    <w:nsid w:val="FFFFFFFE"/>
    <w:multiLevelType w:val="singleLevel"/>
    <w:tmpl w:val="0FC419F4"/>
    <w:lvl w:ilvl="0">
      <w:numFmt w:val="bullet"/>
      <w:lvlText w:val="*"/>
      <w:lvlJc w:val="left"/>
    </w:lvl>
  </w:abstractNum>
  <w:abstractNum w:abstractNumId="6" w15:restartNumberingAfterBreak="0">
    <w:nsid w:val="076C6506"/>
    <w:multiLevelType w:val="hybridMultilevel"/>
    <w:tmpl w:val="DC2C16DA"/>
    <w:lvl w:ilvl="0" w:tplc="04090001">
      <w:start w:val="1"/>
      <w:numFmt w:val="bullet"/>
      <w:lvlText w:val=""/>
      <w:lvlJc w:val="left"/>
      <w:pPr>
        <w:ind w:left="720" w:hanging="360"/>
      </w:pPr>
      <w:rPr>
        <w:rFonts w:ascii="Symbol" w:hAnsi="Symbol" w:hint="default"/>
        <w:b w:val="0"/>
        <w:i w:val="0"/>
        <w:w w:val="9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B1683"/>
    <w:multiLevelType w:val="multilevel"/>
    <w:tmpl w:val="50AC6BEA"/>
    <w:lvl w:ilvl="0">
      <w:start w:val="1"/>
      <w:numFmt w:val="bullet"/>
      <w:lvlText w:val=""/>
      <w:lvlJc w:val="left"/>
      <w:pPr>
        <w:ind w:left="284" w:firstLine="0"/>
      </w:pPr>
      <w:rPr>
        <w:rFonts w:ascii="Symbol" w:hAnsi="Symbol" w:cs="Times New Roman" w:hint="default"/>
        <w:w w:val="9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16740F"/>
    <w:multiLevelType w:val="hybridMultilevel"/>
    <w:tmpl w:val="562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F6D6C"/>
    <w:multiLevelType w:val="hybridMultilevel"/>
    <w:tmpl w:val="D0226172"/>
    <w:lvl w:ilvl="0" w:tplc="CEA8A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61976"/>
    <w:multiLevelType w:val="hybridMultilevel"/>
    <w:tmpl w:val="E222EF90"/>
    <w:lvl w:ilvl="0" w:tplc="2F2C3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B77B3"/>
    <w:multiLevelType w:val="multilevel"/>
    <w:tmpl w:val="62C82B0C"/>
    <w:lvl w:ilvl="0">
      <w:start w:val="3"/>
      <w:numFmt w:val="lowerLetter"/>
      <w:lvlText w:val="(%1)"/>
      <w:lvlJc w:val="left"/>
      <w:pPr>
        <w:tabs>
          <w:tab w:val="num" w:pos="2160"/>
        </w:tabs>
        <w:ind w:left="2160" w:hanging="720"/>
      </w:pPr>
      <w:rPr>
        <w:rFonts w:ascii="Times New Roman" w:hAnsi="Times New Roman" w:cs="Times New Roman"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15:restartNumberingAfterBreak="0">
    <w:nsid w:val="141E7A2E"/>
    <w:multiLevelType w:val="hybridMultilevel"/>
    <w:tmpl w:val="943EB4FE"/>
    <w:lvl w:ilvl="0" w:tplc="A17A2F14">
      <w:start w:val="1"/>
      <w:numFmt w:val="low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D6557"/>
    <w:multiLevelType w:val="hybridMultilevel"/>
    <w:tmpl w:val="27843720"/>
    <w:lvl w:ilvl="0" w:tplc="C5140E18">
      <w:start w:val="1"/>
      <w:numFmt w:val="bullet"/>
      <w:pStyle w:val="Bullet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93376"/>
    <w:multiLevelType w:val="hybridMultilevel"/>
    <w:tmpl w:val="6C624AA2"/>
    <w:lvl w:ilvl="0" w:tplc="BC547AFA">
      <w:start w:val="1"/>
      <w:numFmt w:val="bullet"/>
      <w:pStyle w:val="Bullet3"/>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23702"/>
    <w:multiLevelType w:val="hybridMultilevel"/>
    <w:tmpl w:val="362CB8C6"/>
    <w:lvl w:ilvl="0" w:tplc="D83A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148A0"/>
    <w:multiLevelType w:val="hybridMultilevel"/>
    <w:tmpl w:val="CAC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B3442"/>
    <w:multiLevelType w:val="multilevel"/>
    <w:tmpl w:val="50AC6BEA"/>
    <w:lvl w:ilvl="0">
      <w:start w:val="1"/>
      <w:numFmt w:val="bullet"/>
      <w:lvlText w:val=""/>
      <w:lvlJc w:val="left"/>
      <w:pPr>
        <w:ind w:left="0" w:firstLine="0"/>
      </w:pPr>
      <w:rPr>
        <w:rFonts w:ascii="Symbol" w:hAnsi="Symbol" w:cs="Times New Roman" w:hint="default"/>
        <w:w w:val="90"/>
        <w:sz w:val="22"/>
        <w:szCs w:val="22"/>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18" w15:restartNumberingAfterBreak="0">
    <w:nsid w:val="3AAD3134"/>
    <w:multiLevelType w:val="hybridMultilevel"/>
    <w:tmpl w:val="7C5C5486"/>
    <w:lvl w:ilvl="0" w:tplc="1F56A84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F0406"/>
    <w:multiLevelType w:val="hybridMultilevel"/>
    <w:tmpl w:val="B068FFD8"/>
    <w:lvl w:ilvl="0" w:tplc="2472B4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CE90672"/>
    <w:multiLevelType w:val="hybridMultilevel"/>
    <w:tmpl w:val="04A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B406B"/>
    <w:multiLevelType w:val="hybridMultilevel"/>
    <w:tmpl w:val="B950C09E"/>
    <w:lvl w:ilvl="0" w:tplc="F9F0117A">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45331"/>
    <w:multiLevelType w:val="hybridMultilevel"/>
    <w:tmpl w:val="9B2E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C4C52"/>
    <w:multiLevelType w:val="hybridMultilevel"/>
    <w:tmpl w:val="3424940E"/>
    <w:lvl w:ilvl="0" w:tplc="D83A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86FAE"/>
    <w:multiLevelType w:val="multilevel"/>
    <w:tmpl w:val="50AC6BEA"/>
    <w:lvl w:ilvl="0">
      <w:start w:val="1"/>
      <w:numFmt w:val="bullet"/>
      <w:lvlText w:val=""/>
      <w:lvlJc w:val="left"/>
      <w:pPr>
        <w:ind w:left="284" w:firstLine="0"/>
      </w:pPr>
      <w:rPr>
        <w:rFonts w:ascii="Symbol" w:hAnsi="Symbol" w:cs="Times New Roman" w:hint="default"/>
        <w:w w:val="9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027BD0"/>
    <w:multiLevelType w:val="hybridMultilevel"/>
    <w:tmpl w:val="7B24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B1E70"/>
    <w:multiLevelType w:val="hybridMultilevel"/>
    <w:tmpl w:val="B82E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21861"/>
    <w:multiLevelType w:val="hybridMultilevel"/>
    <w:tmpl w:val="062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D4FB5"/>
    <w:multiLevelType w:val="multilevel"/>
    <w:tmpl w:val="1196208A"/>
    <w:styleLink w:val="StyleBulletedSymbolsymbolComplexSymbolBefore063cm"/>
    <w:lvl w:ilvl="0">
      <w:start w:val="1"/>
      <w:numFmt w:val="bullet"/>
      <w:lvlText w:val=""/>
      <w:lvlJc w:val="left"/>
      <w:pPr>
        <w:ind w:left="360" w:hanging="360"/>
      </w:pPr>
      <w:rPr>
        <w:rFonts w:ascii="Symbol" w:hAnsi="Symbol" w:cs="Symbol"/>
        <w:w w:val="9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D63B4"/>
    <w:multiLevelType w:val="hybridMultilevel"/>
    <w:tmpl w:val="C9C41860"/>
    <w:lvl w:ilvl="0" w:tplc="52CE3E68">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32596"/>
    <w:multiLevelType w:val="hybridMultilevel"/>
    <w:tmpl w:val="6A0011AA"/>
    <w:lvl w:ilvl="0" w:tplc="9998D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37682"/>
    <w:multiLevelType w:val="hybridMultilevel"/>
    <w:tmpl w:val="A8B0D750"/>
    <w:lvl w:ilvl="0" w:tplc="9B16FFF2">
      <w:start w:val="1"/>
      <w:numFmt w:val="bullet"/>
      <w:pStyle w:val="Bullet4"/>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D6B72"/>
    <w:multiLevelType w:val="hybridMultilevel"/>
    <w:tmpl w:val="CF56935E"/>
    <w:lvl w:ilvl="0" w:tplc="61DA5E08">
      <w:start w:val="1"/>
      <w:numFmt w:val="bullet"/>
      <w:pStyle w:val="Bullet5"/>
      <w:lvlText w:val=""/>
      <w:lvlJc w:val="left"/>
      <w:pPr>
        <w:tabs>
          <w:tab w:val="num" w:pos="144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53808"/>
    <w:multiLevelType w:val="hybridMultilevel"/>
    <w:tmpl w:val="AC1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D3C3E"/>
    <w:multiLevelType w:val="hybridMultilevel"/>
    <w:tmpl w:val="FDA8DF1A"/>
    <w:lvl w:ilvl="0" w:tplc="BAAE58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4"/>
  </w:num>
  <w:num w:numId="4">
    <w:abstractNumId w:val="31"/>
  </w:num>
  <w:num w:numId="5">
    <w:abstractNumId w:val="32"/>
  </w:num>
  <w:num w:numId="6">
    <w:abstractNumId w:val="4"/>
  </w:num>
  <w:num w:numId="7">
    <w:abstractNumId w:val="4"/>
  </w:num>
  <w:num w:numId="8">
    <w:abstractNumId w:val="3"/>
  </w:num>
  <w:num w:numId="9">
    <w:abstractNumId w:val="3"/>
  </w:num>
  <w:num w:numId="10">
    <w:abstractNumId w:val="2"/>
  </w:num>
  <w:num w:numId="11">
    <w:abstractNumId w:val="2"/>
  </w:num>
  <w:num w:numId="12">
    <w:abstractNumId w:val="1"/>
  </w:num>
  <w:num w:numId="13">
    <w:abstractNumId w:val="1"/>
  </w:num>
  <w:num w:numId="14">
    <w:abstractNumId w:val="0"/>
  </w:num>
  <w:num w:numId="15">
    <w:abstractNumId w:val="0"/>
  </w:num>
  <w:num w:numId="16">
    <w:abstractNumId w:val="21"/>
  </w:num>
  <w:num w:numId="17">
    <w:abstractNumId w:val="11"/>
  </w:num>
  <w:num w:numId="18">
    <w:abstractNumId w:val="15"/>
  </w:num>
  <w:num w:numId="19">
    <w:abstractNumId w:val="23"/>
  </w:num>
  <w:num w:numId="20">
    <w:abstractNumId w:val="5"/>
    <w:lvlOverride w:ilvl="0">
      <w:lvl w:ilvl="0">
        <w:numFmt w:val="bullet"/>
        <w:lvlText w:val=""/>
        <w:legacy w:legacy="1" w:legacySpace="0" w:legacyIndent="0"/>
        <w:lvlJc w:val="left"/>
        <w:rPr>
          <w:rFonts w:ascii="Symbol" w:hAnsi="Symbol" w:hint="default"/>
          <w:sz w:val="22"/>
        </w:rPr>
      </w:lvl>
    </w:lvlOverride>
  </w:num>
  <w:num w:numId="21">
    <w:abstractNumId w:val="9"/>
  </w:num>
  <w:num w:numId="22">
    <w:abstractNumId w:val="12"/>
  </w:num>
  <w:num w:numId="23">
    <w:abstractNumId w:val="34"/>
  </w:num>
  <w:num w:numId="24">
    <w:abstractNumId w:val="10"/>
  </w:num>
  <w:num w:numId="25">
    <w:abstractNumId w:val="18"/>
  </w:num>
  <w:num w:numId="26">
    <w:abstractNumId w:val="3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6"/>
  </w:num>
  <w:num w:numId="30">
    <w:abstractNumId w:val="16"/>
  </w:num>
  <w:num w:numId="31">
    <w:abstractNumId w:val="22"/>
  </w:num>
  <w:num w:numId="32">
    <w:abstractNumId w:val="33"/>
  </w:num>
  <w:num w:numId="33">
    <w:abstractNumId w:val="25"/>
  </w:num>
  <w:num w:numId="34">
    <w:abstractNumId w:val="20"/>
  </w:num>
  <w:num w:numId="35">
    <w:abstractNumId w:val="27"/>
  </w:num>
  <w:num w:numId="36">
    <w:abstractNumId w:val="6"/>
  </w:num>
  <w:num w:numId="37">
    <w:abstractNumId w:val="28"/>
  </w:num>
  <w:num w:numId="38">
    <w:abstractNumId w:val="7"/>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82"/>
    <w:rsid w:val="00966CEA"/>
    <w:rsid w:val="00977B82"/>
    <w:rsid w:val="00CE69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73D1D"/>
  <w15:docId w15:val="{12AFAE32-495E-4C99-80FD-2ED7B191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jc w:val="both"/>
    </w:pPr>
    <w:rPr>
      <w:rFonts w:eastAsia="Times New Roman"/>
      <w:sz w:val="22"/>
      <w:lang w:eastAsia="en-US"/>
    </w:rPr>
  </w:style>
  <w:style w:type="paragraph" w:styleId="Kop1">
    <w:name w:val="heading 1"/>
    <w:basedOn w:val="Standaard"/>
    <w:next w:val="Plattetekst"/>
    <w:qFormat/>
    <w:pPr>
      <w:keepNext/>
      <w:keepLines/>
      <w:spacing w:after="240"/>
      <w:outlineLvl w:val="0"/>
    </w:pPr>
    <w:rPr>
      <w:rFonts w:cs="Arial"/>
      <w:b/>
      <w:bCs/>
      <w:caps/>
      <w:u w:val="single"/>
    </w:rPr>
  </w:style>
  <w:style w:type="paragraph" w:styleId="Kop2">
    <w:name w:val="heading 2"/>
    <w:basedOn w:val="Standaard"/>
    <w:next w:val="Plattetekst"/>
    <w:qFormat/>
    <w:pPr>
      <w:spacing w:after="240"/>
      <w:ind w:left="720"/>
      <w:outlineLvl w:val="1"/>
    </w:pPr>
    <w:rPr>
      <w:b/>
      <w:bCs/>
      <w:iCs/>
    </w:rPr>
  </w:style>
  <w:style w:type="paragraph" w:styleId="Kop3">
    <w:name w:val="heading 3"/>
    <w:basedOn w:val="Standaard"/>
    <w:next w:val="Plattetekst"/>
    <w:qFormat/>
    <w:pPr>
      <w:ind w:left="1440"/>
      <w:outlineLvl w:val="2"/>
    </w:pPr>
    <w:rPr>
      <w:bCs/>
      <w:u w:val="single"/>
    </w:rPr>
  </w:style>
  <w:style w:type="paragraph" w:styleId="Kop4">
    <w:name w:val="heading 4"/>
    <w:basedOn w:val="Standaard"/>
    <w:next w:val="Plattetekst"/>
    <w:qFormat/>
    <w:pPr>
      <w:ind w:left="2160"/>
      <w:outlineLvl w:val="3"/>
    </w:pPr>
    <w:rPr>
      <w:bCs/>
    </w:rPr>
  </w:style>
  <w:style w:type="paragraph" w:styleId="Kop5">
    <w:name w:val="heading 5"/>
    <w:basedOn w:val="Standaard"/>
    <w:next w:val="Plattetekst"/>
    <w:qFormat/>
    <w:pPr>
      <w:ind w:left="2880"/>
      <w:outlineLvl w:val="4"/>
    </w:pPr>
    <w:rPr>
      <w:bCs/>
      <w:iCs/>
      <w:szCs w:val="26"/>
    </w:rPr>
  </w:style>
  <w:style w:type="paragraph" w:styleId="Kop6">
    <w:name w:val="heading 6"/>
    <w:basedOn w:val="Standaard"/>
    <w:next w:val="Plattetekst"/>
    <w:qFormat/>
    <w:pPr>
      <w:ind w:left="3600"/>
      <w:outlineLvl w:val="5"/>
    </w:pPr>
    <w:rPr>
      <w:bCs/>
      <w:szCs w:val="22"/>
    </w:rPr>
  </w:style>
  <w:style w:type="paragraph" w:styleId="Kop7">
    <w:name w:val="heading 7"/>
    <w:basedOn w:val="Standaard"/>
    <w:next w:val="Plattetekst"/>
    <w:qFormat/>
    <w:pPr>
      <w:ind w:left="4320"/>
      <w:outlineLvl w:val="6"/>
    </w:pPr>
  </w:style>
  <w:style w:type="paragraph" w:styleId="Kop8">
    <w:name w:val="heading 8"/>
    <w:basedOn w:val="Standaard"/>
    <w:next w:val="Plattetekst"/>
    <w:qFormat/>
    <w:pPr>
      <w:ind w:left="5040"/>
      <w:outlineLvl w:val="7"/>
    </w:pPr>
    <w:rPr>
      <w:iCs/>
    </w:rPr>
  </w:style>
  <w:style w:type="paragraph" w:styleId="Kop9">
    <w:name w:val="heading 9"/>
    <w:basedOn w:val="Standaard"/>
    <w:next w:val="Plattetekst"/>
    <w:qFormat/>
    <w:pPr>
      <w:ind w:left="57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Bloktekst">
    <w:name w:val="Block Text"/>
    <w:basedOn w:val="Standaard"/>
    <w:next w:val="Plattetekst"/>
    <w:pPr>
      <w:spacing w:after="240"/>
      <w:ind w:left="1440" w:right="1440"/>
    </w:pPr>
  </w:style>
  <w:style w:type="paragraph" w:styleId="Plattetekst">
    <w:name w:val="Body Text"/>
    <w:basedOn w:val="Standaard"/>
    <w:pPr>
      <w:spacing w:after="240"/>
      <w:ind w:firstLine="720"/>
    </w:pPr>
  </w:style>
  <w:style w:type="paragraph" w:styleId="Plattetekst2">
    <w:name w:val="Body Text 2"/>
    <w:basedOn w:val="Standaard"/>
    <w:pPr>
      <w:spacing w:line="480" w:lineRule="auto"/>
      <w:ind w:firstLine="720"/>
    </w:pPr>
  </w:style>
  <w:style w:type="paragraph" w:customStyle="1" w:styleId="BodyTextNoIndentDS">
    <w:name w:val="Body Text No Indent DS"/>
    <w:basedOn w:val="Standaard"/>
    <w:pPr>
      <w:spacing w:line="480" w:lineRule="auto"/>
    </w:pPr>
  </w:style>
  <w:style w:type="paragraph" w:customStyle="1" w:styleId="BodyTextNoIndentSS">
    <w:name w:val="Body Text No Indent SS"/>
    <w:aliases w:val="btn"/>
    <w:basedOn w:val="Standaard"/>
    <w:pPr>
      <w:spacing w:after="240"/>
    </w:pPr>
  </w:style>
  <w:style w:type="paragraph" w:customStyle="1" w:styleId="Bullet1">
    <w:name w:val="Bullet 1"/>
    <w:basedOn w:val="Standaard"/>
    <w:pPr>
      <w:numPr>
        <w:numId w:val="1"/>
      </w:numPr>
      <w:spacing w:after="240"/>
    </w:pPr>
  </w:style>
  <w:style w:type="paragraph" w:customStyle="1" w:styleId="Bullet2">
    <w:name w:val="Bullet 2"/>
    <w:basedOn w:val="Standaard"/>
    <w:pPr>
      <w:numPr>
        <w:numId w:val="2"/>
      </w:numPr>
    </w:pPr>
  </w:style>
  <w:style w:type="paragraph" w:customStyle="1" w:styleId="Bullet3">
    <w:name w:val="Bullet 3"/>
    <w:basedOn w:val="Standaard"/>
    <w:pPr>
      <w:numPr>
        <w:numId w:val="3"/>
      </w:numPr>
    </w:pPr>
  </w:style>
  <w:style w:type="paragraph" w:styleId="Standaardinspringing">
    <w:name w:val="Normal Indent"/>
    <w:basedOn w:val="Standaard"/>
    <w:pPr>
      <w:ind w:left="720"/>
    </w:pPr>
  </w:style>
  <w:style w:type="paragraph" w:customStyle="1" w:styleId="Bullet4">
    <w:name w:val="Bullet 4"/>
    <w:basedOn w:val="Standaardinspringing"/>
    <w:pPr>
      <w:numPr>
        <w:numId w:val="4"/>
      </w:numPr>
    </w:pPr>
  </w:style>
  <w:style w:type="paragraph" w:customStyle="1" w:styleId="Bullet5">
    <w:name w:val="Bullet 5"/>
    <w:basedOn w:val="Standaard"/>
    <w:pPr>
      <w:numPr>
        <w:numId w:val="5"/>
      </w:numPr>
    </w:pPr>
  </w:style>
  <w:style w:type="paragraph" w:styleId="Bijschrift">
    <w:name w:val="caption"/>
    <w:basedOn w:val="Standaard"/>
    <w:next w:val="Standaard"/>
    <w:qFormat/>
    <w:pPr>
      <w:spacing w:before="120" w:after="120"/>
    </w:pPr>
    <w:rPr>
      <w:b/>
      <w:bCs/>
      <w:sz w:val="20"/>
    </w:rPr>
  </w:style>
  <w:style w:type="paragraph" w:styleId="Afsluiting">
    <w:name w:val="Closing"/>
    <w:basedOn w:val="Standaard"/>
    <w:pPr>
      <w:ind w:left="4320"/>
    </w:pPr>
  </w:style>
  <w:style w:type="paragraph" w:styleId="Tekstopmerking">
    <w:name w:val="annotation text"/>
    <w:basedOn w:val="Standaard"/>
    <w:semiHidden/>
    <w:rPr>
      <w:sz w:val="20"/>
    </w:rPr>
  </w:style>
  <w:style w:type="paragraph" w:styleId="Onderwerpvanopmerking">
    <w:name w:val="annotation subject"/>
    <w:basedOn w:val="Tekstopmerking"/>
    <w:next w:val="Tekstopmerking"/>
    <w:semiHidden/>
    <w:rPr>
      <w:b/>
      <w:bCs/>
    </w:r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cs="Tahoma"/>
    </w:rPr>
  </w:style>
  <w:style w:type="paragraph" w:styleId="Eindnoottekst">
    <w:name w:val="endnote text"/>
    <w:basedOn w:val="Standaard"/>
    <w:link w:val="EindnoottekstChar"/>
    <w:semiHidden/>
    <w:rPr>
      <w:sz w:val="20"/>
    </w:rPr>
  </w:style>
  <w:style w:type="paragraph" w:styleId="Voettekst">
    <w:name w:val="footer"/>
    <w:basedOn w:val="Standaard"/>
    <w:pPr>
      <w:tabs>
        <w:tab w:val="center" w:pos="4680"/>
        <w:tab w:val="right" w:pos="9360"/>
      </w:tabs>
    </w:pPr>
  </w:style>
  <w:style w:type="paragraph" w:styleId="Voetnoottekst">
    <w:name w:val="footnote text"/>
    <w:basedOn w:val="Standaard"/>
    <w:link w:val="VoetnoottekstChar"/>
    <w:uiPriority w:val="99"/>
    <w:pPr>
      <w:spacing w:after="240" w:line="240" w:lineRule="atLeast"/>
    </w:pPr>
    <w:rPr>
      <w:sz w:val="20"/>
    </w:rPr>
  </w:style>
  <w:style w:type="paragraph" w:styleId="Koptekst">
    <w:name w:val="header"/>
    <w:basedOn w:val="Standaard"/>
    <w:pPr>
      <w:tabs>
        <w:tab w:val="center" w:pos="4680"/>
        <w:tab w:val="right" w:pos="9360"/>
      </w:tabs>
    </w:pPr>
  </w:style>
  <w:style w:type="paragraph" w:styleId="HTML-adres">
    <w:name w:val="HTML Address"/>
    <w:basedOn w:val="Standaard"/>
    <w:rPr>
      <w:i/>
      <w:iCs/>
    </w:rPr>
  </w:style>
  <w:style w:type="paragraph" w:styleId="HTML-voorafopgemaakt">
    <w:name w:val="HTML Preformatted"/>
    <w:basedOn w:val="Standaard"/>
    <w:rPr>
      <w:rFonts w:ascii="Courier New" w:hAnsi="Courier New" w:cs="Courier New"/>
      <w:sz w:val="20"/>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cs="Arial"/>
      <w:b/>
      <w:bCs/>
    </w:rPr>
  </w:style>
  <w:style w:type="paragraph" w:customStyle="1" w:styleId="Interrogatory">
    <w:name w:val="Interrogatory"/>
    <w:basedOn w:val="Standaard"/>
    <w:next w:val="Plattetekst"/>
    <w:pPr>
      <w:keepNext/>
      <w:keepLines/>
      <w:widowControl w:val="0"/>
      <w:spacing w:line="480" w:lineRule="exact"/>
    </w:pPr>
    <w:rPr>
      <w:b/>
      <w:caps/>
      <w:u w:val="single"/>
    </w:rPr>
  </w:style>
  <w:style w:type="paragraph" w:customStyle="1" w:styleId="LandscapeFooter">
    <w:name w:val="Landscape Footer"/>
    <w:basedOn w:val="Standaard"/>
    <w:pPr>
      <w:tabs>
        <w:tab w:val="center" w:pos="6480"/>
        <w:tab w:val="right" w:pos="12960"/>
      </w:tabs>
    </w:pPr>
  </w:style>
  <w:style w:type="paragraph" w:styleId="Lijst">
    <w:name w:val="List"/>
    <w:basedOn w:val="Standaard"/>
    <w:pPr>
      <w:ind w:left="360" w:hanging="360"/>
    </w:pPr>
  </w:style>
  <w:style w:type="paragraph" w:styleId="Lijst2">
    <w:name w:val="List 2"/>
    <w:basedOn w:val="Standaard"/>
    <w:pPr>
      <w:ind w:left="720" w:hanging="360"/>
    </w:pPr>
  </w:style>
  <w:style w:type="paragraph" w:styleId="Lijst3">
    <w:name w:val="List 3"/>
    <w:basedOn w:val="Standaard"/>
    <w:pPr>
      <w:ind w:left="1080" w:hanging="360"/>
    </w:pPr>
  </w:style>
  <w:style w:type="paragraph" w:styleId="Lijst4">
    <w:name w:val="List 4"/>
    <w:basedOn w:val="Standaard"/>
    <w:pPr>
      <w:ind w:left="1440" w:hanging="360"/>
    </w:pPr>
  </w:style>
  <w:style w:type="paragraph" w:styleId="Lijst5">
    <w:name w:val="List 5"/>
    <w:basedOn w:val="Standaard"/>
    <w:pPr>
      <w:ind w:left="1800" w:hanging="360"/>
    </w:pPr>
  </w:style>
  <w:style w:type="paragraph" w:styleId="Lijstvoortzetting">
    <w:name w:val="List Continue"/>
    <w:basedOn w:val="Standaard"/>
    <w:pPr>
      <w:spacing w:after="120"/>
      <w:ind w:left="360"/>
    </w:pPr>
  </w:style>
  <w:style w:type="paragraph" w:styleId="Lijstvoortzetting2">
    <w:name w:val="List Continue 2"/>
    <w:basedOn w:val="Standaard"/>
    <w:pPr>
      <w:spacing w:after="120"/>
      <w:ind w:left="720"/>
    </w:pPr>
  </w:style>
  <w:style w:type="paragraph" w:styleId="Lijstvoortzetting3">
    <w:name w:val="List Continue 3"/>
    <w:basedOn w:val="Standaard"/>
    <w:pPr>
      <w:spacing w:after="120"/>
      <w:ind w:left="1080"/>
    </w:pPr>
  </w:style>
  <w:style w:type="paragraph" w:styleId="Lijstvoortzetting4">
    <w:name w:val="List Continue 4"/>
    <w:basedOn w:val="Standaard"/>
    <w:pPr>
      <w:spacing w:after="120"/>
      <w:ind w:left="1440"/>
    </w:pPr>
  </w:style>
  <w:style w:type="paragraph" w:styleId="Lijstvoortzetting5">
    <w:name w:val="List Continue 5"/>
    <w:basedOn w:val="Standaard"/>
    <w:pPr>
      <w:spacing w:after="120"/>
      <w:ind w:left="1800"/>
    </w:pPr>
  </w:style>
  <w:style w:type="paragraph" w:styleId="Lijstnummering">
    <w:name w:val="List Number"/>
    <w:basedOn w:val="Standaard"/>
    <w:pPr>
      <w:numPr>
        <w:numId w:val="7"/>
      </w:numPr>
    </w:pPr>
  </w:style>
  <w:style w:type="paragraph" w:styleId="Lijstnummering2">
    <w:name w:val="List Number 2"/>
    <w:basedOn w:val="Standaard"/>
  </w:style>
  <w:style w:type="paragraph" w:styleId="Lijstnummering3">
    <w:name w:val="List Number 3"/>
    <w:basedOn w:val="Standaard"/>
  </w:style>
  <w:style w:type="paragraph" w:styleId="Lijstnummering4">
    <w:name w:val="List Number 4"/>
    <w:basedOn w:val="Standaard"/>
  </w:style>
  <w:style w:type="paragraph" w:styleId="Lijstnummering5">
    <w:name w:val="List Number 5"/>
    <w:basedOn w:val="Standaar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alweb">
    <w:name w:val="Normal (Web)"/>
    <w:basedOn w:val="Standaard"/>
    <w:uiPriority w:val="99"/>
  </w:style>
  <w:style w:type="paragraph" w:styleId="Notitiekop">
    <w:name w:val="Note Heading"/>
    <w:basedOn w:val="Standaard"/>
    <w:next w:val="Standaard"/>
  </w:style>
  <w:style w:type="character" w:styleId="Paginanummer">
    <w:name w:val="page number"/>
    <w:basedOn w:val="Standaardalinea-lettertype"/>
  </w:style>
  <w:style w:type="paragraph" w:styleId="Tekstzonderopmaak">
    <w:name w:val="Plain Text"/>
    <w:basedOn w:val="Standaard"/>
    <w:rPr>
      <w:rFonts w:ascii="Courier New" w:hAnsi="Courier New" w:cs="Courier New"/>
      <w:sz w:val="20"/>
    </w:rPr>
  </w:style>
  <w:style w:type="paragraph" w:customStyle="1" w:styleId="QuoteCite">
    <w:name w:val="Quote Cite"/>
    <w:aliases w:val="qc"/>
    <w:basedOn w:val="Standaard"/>
    <w:next w:val="Plattetekst"/>
    <w:pPr>
      <w:spacing w:after="240"/>
    </w:pPr>
  </w:style>
  <w:style w:type="paragraph" w:customStyle="1" w:styleId="Quote1">
    <w:name w:val="Quote1"/>
    <w:basedOn w:val="Standaard"/>
    <w:next w:val="QuoteCite"/>
    <w:pPr>
      <w:spacing w:after="240"/>
      <w:ind w:left="1440" w:right="1440"/>
    </w:pPr>
  </w:style>
  <w:style w:type="paragraph" w:customStyle="1" w:styleId="Response">
    <w:name w:val="Response"/>
    <w:basedOn w:val="Standaard"/>
    <w:next w:val="Plattetekst"/>
    <w:pPr>
      <w:keepNext/>
      <w:keepLines/>
      <w:widowControl w:val="0"/>
      <w:spacing w:line="480" w:lineRule="exact"/>
    </w:pPr>
    <w:rPr>
      <w:b/>
      <w:caps/>
      <w:u w:val="single"/>
    </w:rPr>
  </w:style>
  <w:style w:type="paragraph" w:styleId="Aanhef">
    <w:name w:val="Salutation"/>
    <w:basedOn w:val="Standaard"/>
    <w:next w:val="Standaard"/>
  </w:style>
  <w:style w:type="paragraph" w:styleId="Handtekening">
    <w:name w:val="Signature"/>
    <w:basedOn w:val="Standaard"/>
    <w:next w:val="Plattetekst"/>
    <w:pPr>
      <w:keepLines/>
      <w:spacing w:after="240"/>
      <w:ind w:left="4320"/>
    </w:pPr>
  </w:style>
  <w:style w:type="paragraph" w:customStyle="1" w:styleId="SubtitleBold">
    <w:name w:val="Subtitle Bold"/>
    <w:basedOn w:val="Standaard"/>
    <w:next w:val="Plattetekst"/>
    <w:pPr>
      <w:keepNext/>
      <w:keepLines/>
      <w:spacing w:after="240"/>
      <w:outlineLvl w:val="1"/>
    </w:pPr>
    <w:rPr>
      <w:b/>
    </w:rPr>
  </w:style>
  <w:style w:type="paragraph" w:customStyle="1" w:styleId="SubtitleLeft">
    <w:name w:val="Subtitle Left"/>
    <w:aliases w:val="stl"/>
    <w:basedOn w:val="Standaard"/>
    <w:next w:val="Plattetekst"/>
    <w:pPr>
      <w:spacing w:after="240"/>
    </w:pPr>
    <w:rPr>
      <w:b/>
      <w:u w:val="single"/>
    </w:rPr>
  </w:style>
  <w:style w:type="paragraph" w:styleId="Ondertitel">
    <w:name w:val="Subtitle"/>
    <w:basedOn w:val="Standaard"/>
    <w:next w:val="Plattetekst"/>
    <w:qFormat/>
    <w:pPr>
      <w:keepNext/>
      <w:keepLines/>
      <w:spacing w:after="240"/>
      <w:jc w:val="center"/>
      <w:outlineLvl w:val="1"/>
    </w:pPr>
    <w:rPr>
      <w:rFonts w:cs="Arial"/>
      <w:u w:val="single"/>
    </w:rPr>
  </w:style>
  <w:style w:type="paragraph" w:customStyle="1" w:styleId="TableBody">
    <w:name w:val="Table Body"/>
    <w:basedOn w:val="Standaard"/>
  </w:style>
  <w:style w:type="paragraph" w:customStyle="1" w:styleId="TableBullet">
    <w:name w:val="Table Bullet"/>
    <w:basedOn w:val="Standaard"/>
    <w:pPr>
      <w:numPr>
        <w:numId w:val="16"/>
      </w:numPr>
      <w:spacing w:after="240"/>
    </w:p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Plattetekst"/>
    <w:qFormat/>
    <w:pPr>
      <w:keepNext/>
      <w:spacing w:after="240"/>
      <w:jc w:val="center"/>
      <w:outlineLvl w:val="0"/>
    </w:pPr>
    <w:rPr>
      <w:rFonts w:cs="Arial"/>
      <w:b/>
      <w:bCs/>
      <w:caps/>
      <w:kern w:val="28"/>
      <w:szCs w:val="32"/>
    </w:rPr>
  </w:style>
  <w:style w:type="paragraph" w:customStyle="1" w:styleId="TitleNoTOC">
    <w:name w:val="Title (No TOC)"/>
    <w:basedOn w:val="Titel"/>
    <w:next w:val="Plattetekst"/>
  </w:style>
  <w:style w:type="paragraph" w:customStyle="1" w:styleId="TitleUnderline">
    <w:name w:val="Title Underline"/>
    <w:aliases w:val="tu"/>
    <w:basedOn w:val="Standaard"/>
    <w:next w:val="Plattetekst"/>
    <w:pPr>
      <w:spacing w:after="240"/>
      <w:jc w:val="center"/>
    </w:pPr>
    <w:rPr>
      <w:b/>
      <w:caps/>
      <w:u w:val="single"/>
    </w:rPr>
  </w:style>
  <w:style w:type="paragraph" w:styleId="Kopbronvermelding">
    <w:name w:val="toa heading"/>
    <w:basedOn w:val="Standaard"/>
    <w:next w:val="Standaard"/>
    <w:semiHidden/>
    <w:pPr>
      <w:spacing w:before="120"/>
    </w:pPr>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customStyle="1" w:styleId="zzmpTrailerItem">
    <w:name w:val="zzmpTrailerItem"/>
    <w:basedOn w:val="Standaardalinea-lettertype"/>
    <w:rPr>
      <w:rFonts w:ascii="Times New Roman" w:hAnsi="Times New Roman" w:cs="Times New Roman"/>
      <w:dstrike w:val="0"/>
      <w:noProof/>
      <w:color w:val="auto"/>
      <w:spacing w:val="0"/>
      <w:position w:val="0"/>
      <w:sz w:val="16"/>
      <w:szCs w:val="16"/>
      <w:u w:val="none"/>
      <w:effect w:val="none"/>
      <w:vertAlign w:val="baseline"/>
    </w:rPr>
  </w:style>
  <w:style w:type="character" w:styleId="Voetnootmarkering">
    <w:name w:val="footnote reference"/>
    <w:uiPriority w:val="99"/>
    <w:rPr>
      <w:vertAlign w:val="superscript"/>
    </w:rPr>
  </w:style>
  <w:style w:type="character" w:styleId="Verwijzingopmerking">
    <w:name w:val="annotation reference"/>
    <w:semiHidden/>
    <w:rPr>
      <w:sz w:val="16"/>
      <w:szCs w:val="16"/>
    </w:rPr>
  </w:style>
  <w:style w:type="character" w:styleId="Nadruk">
    <w:name w:val="Emphasis"/>
    <w:qFormat/>
    <w:rPr>
      <w:i/>
      <w:iCs/>
    </w:rPr>
  </w:style>
  <w:style w:type="character" w:customStyle="1" w:styleId="at21">
    <w:name w:val="a__t21"/>
    <w:rPr>
      <w:b/>
      <w:bCs/>
    </w:rPr>
  </w:style>
  <w:style w:type="character" w:customStyle="1" w:styleId="at4">
    <w:name w:val="a__t4"/>
    <w:basedOn w:val="Standaardalinea-lettertype"/>
  </w:style>
  <w:style w:type="character" w:styleId="Hyperlink">
    <w:name w:val="Hyperlink"/>
    <w:basedOn w:val="Standaardalinea-lettertype"/>
    <w:uiPriority w:val="99"/>
    <w:rPr>
      <w:color w:val="0000FF"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ndnootmarkering">
    <w:name w:val="endnote reference"/>
    <w:basedOn w:val="Standaardalinea-lettertype"/>
    <w:rPr>
      <w:vertAlign w:val="superscript"/>
    </w:rPr>
  </w:style>
  <w:style w:type="character" w:customStyle="1" w:styleId="EindnoottekstChar">
    <w:name w:val="Eindnoottekst Char"/>
    <w:basedOn w:val="Standaardalinea-lettertype"/>
    <w:link w:val="Eindnoottekst"/>
    <w:semiHidden/>
    <w:rPr>
      <w:rFonts w:eastAsia="Times New Roman"/>
      <w:lang w:eastAsia="en-US"/>
    </w:rPr>
  </w:style>
  <w:style w:type="character" w:customStyle="1" w:styleId="VoetnoottekstChar">
    <w:name w:val="Voetnoottekst Char"/>
    <w:basedOn w:val="Standaardalinea-lettertype"/>
    <w:link w:val="Voetnoottekst"/>
    <w:uiPriority w:val="99"/>
    <w:rPr>
      <w:rFonts w:eastAsia="Times New Roman"/>
      <w:lang w:eastAsia="en-US"/>
    </w:rPr>
  </w:style>
  <w:style w:type="character" w:styleId="GevolgdeHyperlink">
    <w:name w:val="FollowedHyperlink"/>
    <w:basedOn w:val="Standaardalinea-lettertype"/>
    <w:semiHidden/>
    <w:unhideWhenUsed/>
    <w:rPr>
      <w:color w:val="800080" w:themeColor="followedHyperlink"/>
      <w:u w:val="single"/>
    </w:rPr>
  </w:style>
  <w:style w:type="paragraph" w:styleId="Revisie">
    <w:name w:val="Revision"/>
    <w:hidden/>
    <w:uiPriority w:val="99"/>
    <w:semiHidden/>
    <w:rPr>
      <w:rFonts w:eastAsia="Times New Roman"/>
      <w:sz w:val="22"/>
      <w:lang w:eastAsia="en-US"/>
    </w:rPr>
  </w:style>
  <w:style w:type="paragraph" w:styleId="Citaat">
    <w:name w:val="Quote"/>
    <w:basedOn w:val="Standaard"/>
    <w:next w:val="Standaard"/>
    <w:link w:val="CitaatChar"/>
    <w:uiPriority w:val="29"/>
    <w:qFormat/>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Pr>
      <w:rFonts w:eastAsia="Times New Roman"/>
      <w:i/>
      <w:iCs/>
      <w:color w:val="404040" w:themeColor="text1" w:themeTint="BF"/>
      <w:sz w:val="22"/>
      <w:lang w:eastAsia="en-US"/>
    </w:rPr>
  </w:style>
  <w:style w:type="character" w:styleId="Intensieveverwijzing">
    <w:name w:val="Intense Reference"/>
    <w:basedOn w:val="Standaardalinea-lettertype"/>
    <w:uiPriority w:val="32"/>
    <w:qFormat/>
    <w:rPr>
      <w:b/>
      <w:bCs/>
      <w:smallCaps/>
      <w:color w:val="4F81BD" w:themeColor="accent1"/>
      <w:spacing w:val="5"/>
    </w:rPr>
  </w:style>
  <w:style w:type="table" w:styleId="Gemiddeldelijst2-accent1">
    <w:name w:val="Medium List 2 Accent 1"/>
    <w:basedOn w:val="Standaardtabel"/>
    <w:uiPriority w:val="6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tyleBulletedSymbolsymbolComplexSymbolBefore063cm">
    <w:name w:val="Style Bulleted Symbol (symbol) (Complex) Symbol Before:  063 cm..."/>
    <w:basedOn w:val="Geenlij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54478">
      <w:bodyDiv w:val="1"/>
      <w:marLeft w:val="0"/>
      <w:marRight w:val="0"/>
      <w:marTop w:val="0"/>
      <w:marBottom w:val="0"/>
      <w:divBdr>
        <w:top w:val="none" w:sz="0" w:space="0" w:color="auto"/>
        <w:left w:val="none" w:sz="0" w:space="0" w:color="auto"/>
        <w:bottom w:val="none" w:sz="0" w:space="0" w:color="auto"/>
        <w:right w:val="none" w:sz="0" w:space="0" w:color="auto"/>
      </w:divBdr>
    </w:div>
    <w:div w:id="833766211">
      <w:bodyDiv w:val="1"/>
      <w:marLeft w:val="0"/>
      <w:marRight w:val="0"/>
      <w:marTop w:val="0"/>
      <w:marBottom w:val="0"/>
      <w:divBdr>
        <w:top w:val="none" w:sz="0" w:space="0" w:color="auto"/>
        <w:left w:val="none" w:sz="0" w:space="0" w:color="auto"/>
        <w:bottom w:val="none" w:sz="0" w:space="0" w:color="auto"/>
        <w:right w:val="none" w:sz="0" w:space="0" w:color="auto"/>
      </w:divBdr>
    </w:div>
    <w:div w:id="1059592877">
      <w:bodyDiv w:val="1"/>
      <w:marLeft w:val="0"/>
      <w:marRight w:val="0"/>
      <w:marTop w:val="0"/>
      <w:marBottom w:val="0"/>
      <w:divBdr>
        <w:top w:val="none" w:sz="0" w:space="0" w:color="auto"/>
        <w:left w:val="none" w:sz="0" w:space="0" w:color="auto"/>
        <w:bottom w:val="none" w:sz="0" w:space="0" w:color="auto"/>
        <w:right w:val="none" w:sz="0" w:space="0" w:color="auto"/>
      </w:divBdr>
    </w:div>
    <w:div w:id="1068067690">
      <w:bodyDiv w:val="1"/>
      <w:marLeft w:val="0"/>
      <w:marRight w:val="0"/>
      <w:marTop w:val="0"/>
      <w:marBottom w:val="0"/>
      <w:divBdr>
        <w:top w:val="none" w:sz="0" w:space="0" w:color="auto"/>
        <w:left w:val="none" w:sz="0" w:space="0" w:color="auto"/>
        <w:bottom w:val="none" w:sz="0" w:space="0" w:color="auto"/>
        <w:right w:val="none" w:sz="0" w:space="0" w:color="auto"/>
      </w:divBdr>
    </w:div>
    <w:div w:id="1219702242">
      <w:bodyDiv w:val="1"/>
      <w:marLeft w:val="0"/>
      <w:marRight w:val="0"/>
      <w:marTop w:val="0"/>
      <w:marBottom w:val="0"/>
      <w:divBdr>
        <w:top w:val="none" w:sz="0" w:space="0" w:color="auto"/>
        <w:left w:val="none" w:sz="0" w:space="0" w:color="auto"/>
        <w:bottom w:val="none" w:sz="0" w:space="0" w:color="auto"/>
        <w:right w:val="none" w:sz="0" w:space="0" w:color="auto"/>
      </w:divBdr>
    </w:div>
    <w:div w:id="1441028737">
      <w:bodyDiv w:val="1"/>
      <w:marLeft w:val="0"/>
      <w:marRight w:val="0"/>
      <w:marTop w:val="0"/>
      <w:marBottom w:val="0"/>
      <w:divBdr>
        <w:top w:val="none" w:sz="0" w:space="0" w:color="auto"/>
        <w:left w:val="none" w:sz="0" w:space="0" w:color="auto"/>
        <w:bottom w:val="none" w:sz="0" w:space="0" w:color="auto"/>
        <w:right w:val="none" w:sz="0" w:space="0" w:color="auto"/>
      </w:divBdr>
    </w:div>
    <w:div w:id="1764522859">
      <w:bodyDiv w:val="1"/>
      <w:marLeft w:val="0"/>
      <w:marRight w:val="0"/>
      <w:marTop w:val="0"/>
      <w:marBottom w:val="0"/>
      <w:divBdr>
        <w:top w:val="none" w:sz="0" w:space="0" w:color="auto"/>
        <w:left w:val="none" w:sz="0" w:space="0" w:color="auto"/>
        <w:bottom w:val="none" w:sz="0" w:space="0" w:color="auto"/>
        <w:right w:val="none" w:sz="0" w:space="0" w:color="auto"/>
      </w:divBdr>
      <w:divsChild>
        <w:div w:id="1592396186">
          <w:marLeft w:val="0"/>
          <w:marRight w:val="0"/>
          <w:marTop w:val="0"/>
          <w:marBottom w:val="0"/>
          <w:divBdr>
            <w:top w:val="none" w:sz="0" w:space="0" w:color="auto"/>
            <w:left w:val="none" w:sz="0" w:space="0" w:color="auto"/>
            <w:bottom w:val="none" w:sz="0" w:space="0" w:color="auto"/>
            <w:right w:val="none" w:sz="0" w:space="0" w:color="auto"/>
          </w:divBdr>
        </w:div>
      </w:divsChild>
    </w:div>
    <w:div w:id="18748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chTeam@jonesd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gional_policy/sources/conferences/state-aid/sme/smedefinitionguide_en.pdf" TargetMode="External"/><Relationship Id="rId2" Type="http://schemas.openxmlformats.org/officeDocument/2006/relationships/hyperlink" Target="https://eur-lex.europa.eu/LexUriServ/LexUriServ.do?uri=OJ:L:2003:124:0036:0041:en:PDF" TargetMode="External"/><Relationship Id="rId1" Type="http://schemas.openxmlformats.org/officeDocument/2006/relationships/hyperlink" Target="http://www.jonesdayr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12823</Characters>
  <Application>Microsoft Office Word</Application>
  <DocSecurity>0</DocSecurity>
  <Lines>106</Lines>
  <Paragraphs>30</Paragraphs>
  <ScaleCrop>false</ScaleCrop>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Stremmelaar</dc:creator>
  <cp:lastModifiedBy>Stremmelaar, Egbert</cp:lastModifiedBy>
  <cp:revision>2</cp:revision>
  <cp:lastPrinted>1900-01-01T05:00:00Z</cp:lastPrinted>
  <dcterms:created xsi:type="dcterms:W3CDTF">2021-01-05T07:30:00Z</dcterms:created>
  <dcterms:modified xsi:type="dcterms:W3CDTF">2021-01-05T07:30:00Z</dcterms:modified>
</cp:coreProperties>
</file>