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3D426" w14:textId="52286DD5" w:rsidR="009A3B1D" w:rsidRPr="00707C49" w:rsidRDefault="008C1E1C" w:rsidP="00DA19A2">
      <w:pPr>
        <w:pStyle w:val="Heading1"/>
        <w:numPr>
          <w:ilvl w:val="0"/>
          <w:numId w:val="0"/>
        </w:numPr>
        <w:spacing w:before="0" w:after="0" w:line="360" w:lineRule="auto"/>
        <w:rPr>
          <w:rFonts w:ascii="Verdana" w:hAnsi="Verdana"/>
          <w:b w:val="0"/>
          <w:i/>
          <w:sz w:val="18"/>
          <w:szCs w:val="18"/>
        </w:rPr>
      </w:pPr>
      <w:bookmarkStart w:id="0" w:name="OLE_LINK1"/>
      <w:bookmarkStart w:id="1" w:name="OLE_LINK2"/>
      <w:bookmarkStart w:id="2" w:name="_GoBack"/>
      <w:bookmarkEnd w:id="2"/>
      <w:r>
        <w:rPr>
          <w:rFonts w:ascii="Verdana" w:hAnsi="Verdana"/>
          <w:sz w:val="18"/>
          <w:szCs w:val="18"/>
        </w:rPr>
        <w:t>F</w:t>
      </w:r>
      <w:r w:rsidR="002F4952">
        <w:rPr>
          <w:rFonts w:ascii="Verdana" w:hAnsi="Verdana"/>
          <w:sz w:val="18"/>
          <w:szCs w:val="18"/>
        </w:rPr>
        <w:t xml:space="preserve">iche </w:t>
      </w:r>
      <w:r w:rsidR="00E64515">
        <w:rPr>
          <w:rFonts w:ascii="Verdana" w:hAnsi="Verdana"/>
          <w:sz w:val="18"/>
          <w:szCs w:val="18"/>
        </w:rPr>
        <w:t>4</w:t>
      </w:r>
      <w:r>
        <w:rPr>
          <w:rFonts w:ascii="Verdana" w:hAnsi="Verdana"/>
          <w:sz w:val="18"/>
          <w:szCs w:val="18"/>
        </w:rPr>
        <w:t xml:space="preserve">: </w:t>
      </w:r>
      <w:r w:rsidR="002F4952">
        <w:rPr>
          <w:rFonts w:ascii="Verdana" w:hAnsi="Verdana"/>
          <w:sz w:val="18"/>
          <w:szCs w:val="18"/>
        </w:rPr>
        <w:t xml:space="preserve">Wijziging richtlijn </w:t>
      </w:r>
      <w:r w:rsidR="0074278C">
        <w:rPr>
          <w:rFonts w:ascii="Verdana" w:hAnsi="Verdana"/>
          <w:sz w:val="18"/>
          <w:szCs w:val="18"/>
        </w:rPr>
        <w:t xml:space="preserve">carcinogene en mutagene stoffen </w:t>
      </w:r>
      <w:r w:rsidR="002F4952">
        <w:rPr>
          <w:rFonts w:ascii="Verdana" w:hAnsi="Verdana"/>
          <w:sz w:val="18"/>
          <w:szCs w:val="18"/>
        </w:rPr>
        <w:t>- Carcinogenen IV</w:t>
      </w:r>
    </w:p>
    <w:p w14:paraId="289E9ACF" w14:textId="77777777" w:rsidR="009A3B1D" w:rsidRPr="00DA19A2" w:rsidRDefault="009A3B1D" w:rsidP="00DA19A2">
      <w:pPr>
        <w:spacing w:line="360" w:lineRule="auto"/>
        <w:rPr>
          <w:rFonts w:ascii="Verdana" w:hAnsi="Verdana"/>
          <w:sz w:val="18"/>
          <w:szCs w:val="18"/>
        </w:rPr>
      </w:pPr>
    </w:p>
    <w:p w14:paraId="67A5CB57" w14:textId="77777777" w:rsidR="009A3B1D" w:rsidRPr="00DA19A2" w:rsidRDefault="009A3B1D" w:rsidP="00346A84">
      <w:pPr>
        <w:numPr>
          <w:ilvl w:val="0"/>
          <w:numId w:val="3"/>
        </w:numPr>
        <w:spacing w:line="360" w:lineRule="auto"/>
        <w:rPr>
          <w:rFonts w:ascii="Verdana" w:hAnsi="Verdana"/>
          <w:b/>
          <w:sz w:val="18"/>
          <w:szCs w:val="18"/>
        </w:rPr>
      </w:pPr>
      <w:r w:rsidRPr="00DA19A2">
        <w:rPr>
          <w:rFonts w:ascii="Verdana" w:hAnsi="Verdana"/>
          <w:b/>
          <w:sz w:val="18"/>
          <w:szCs w:val="18"/>
        </w:rPr>
        <w:t>Algemene gegevens</w:t>
      </w:r>
    </w:p>
    <w:p w14:paraId="5E76C822" w14:textId="77777777" w:rsidR="00F74E07" w:rsidRDefault="00F74E07" w:rsidP="00F74E07">
      <w:pPr>
        <w:spacing w:line="360" w:lineRule="auto"/>
        <w:rPr>
          <w:rFonts w:ascii="Verdana" w:hAnsi="Verdana"/>
          <w:i/>
          <w:iCs/>
          <w:sz w:val="18"/>
          <w:szCs w:val="18"/>
        </w:rPr>
      </w:pPr>
    </w:p>
    <w:p w14:paraId="0DE8A00A" w14:textId="77777777" w:rsidR="00F74E07" w:rsidRDefault="00F74E07" w:rsidP="00346A84">
      <w:pPr>
        <w:numPr>
          <w:ilvl w:val="0"/>
          <w:numId w:val="4"/>
        </w:numPr>
        <w:spacing w:line="360" w:lineRule="auto"/>
        <w:rPr>
          <w:rFonts w:ascii="Verdana" w:hAnsi="Verdana"/>
          <w:i/>
          <w:iCs/>
          <w:sz w:val="18"/>
          <w:szCs w:val="18"/>
        </w:rPr>
      </w:pPr>
      <w:r w:rsidRPr="00EF5C95">
        <w:rPr>
          <w:rFonts w:ascii="Verdana" w:hAnsi="Verdana"/>
          <w:i/>
          <w:iCs/>
          <w:sz w:val="18"/>
          <w:szCs w:val="18"/>
        </w:rPr>
        <w:t>Titel voorstel</w:t>
      </w:r>
    </w:p>
    <w:p w14:paraId="30505163" w14:textId="72BCDB24" w:rsidR="002F4952" w:rsidRPr="004E5122" w:rsidRDefault="002F4952" w:rsidP="002F4952">
      <w:pPr>
        <w:spacing w:line="360" w:lineRule="auto"/>
        <w:rPr>
          <w:rFonts w:ascii="Verdana" w:hAnsi="Verdana"/>
          <w:iCs/>
          <w:sz w:val="18"/>
          <w:szCs w:val="18"/>
        </w:rPr>
      </w:pPr>
      <w:r w:rsidRPr="004E5122">
        <w:rPr>
          <w:rFonts w:ascii="Verdana" w:hAnsi="Verdana"/>
          <w:iCs/>
          <w:sz w:val="18"/>
          <w:szCs w:val="18"/>
        </w:rPr>
        <w:t>Voorstel voor een Richtlijn van het Europees parlement en de Raad tot wijziging van Richtlijn</w:t>
      </w:r>
    </w:p>
    <w:p w14:paraId="144F0DD2" w14:textId="77777777" w:rsidR="002F4952" w:rsidRPr="004E5122" w:rsidRDefault="002F4952" w:rsidP="002F4952">
      <w:pPr>
        <w:spacing w:line="360" w:lineRule="auto"/>
        <w:rPr>
          <w:rFonts w:ascii="Verdana" w:hAnsi="Verdana"/>
          <w:iCs/>
          <w:sz w:val="18"/>
          <w:szCs w:val="18"/>
        </w:rPr>
      </w:pPr>
      <w:r w:rsidRPr="004E5122">
        <w:rPr>
          <w:rFonts w:ascii="Verdana" w:hAnsi="Verdana"/>
          <w:iCs/>
          <w:sz w:val="18"/>
          <w:szCs w:val="18"/>
        </w:rPr>
        <w:t>2004/37/EG betreffende de bescherming van werknemers tegen de risico’s van blootstelling aan</w:t>
      </w:r>
    </w:p>
    <w:p w14:paraId="37D1F660" w14:textId="77777777" w:rsidR="002F4952" w:rsidRPr="004E5122" w:rsidRDefault="002F4952" w:rsidP="002F4952">
      <w:pPr>
        <w:spacing w:line="360" w:lineRule="auto"/>
        <w:rPr>
          <w:rFonts w:ascii="Verdana" w:hAnsi="Verdana"/>
          <w:iCs/>
          <w:sz w:val="18"/>
          <w:szCs w:val="18"/>
        </w:rPr>
      </w:pPr>
      <w:r w:rsidRPr="004E5122">
        <w:rPr>
          <w:rFonts w:ascii="Verdana" w:hAnsi="Verdana"/>
          <w:iCs/>
          <w:sz w:val="18"/>
          <w:szCs w:val="18"/>
        </w:rPr>
        <w:t>carcinogene of mutagene agentia op het werk.</w:t>
      </w:r>
    </w:p>
    <w:p w14:paraId="0CE5867D" w14:textId="77777777" w:rsidR="002F4952" w:rsidRPr="00EF5C95" w:rsidRDefault="002F4952" w:rsidP="002F4952">
      <w:pPr>
        <w:spacing w:line="360" w:lineRule="auto"/>
        <w:rPr>
          <w:rFonts w:ascii="Verdana" w:hAnsi="Verdana"/>
          <w:i/>
          <w:iCs/>
          <w:sz w:val="18"/>
          <w:szCs w:val="18"/>
        </w:rPr>
      </w:pPr>
    </w:p>
    <w:p w14:paraId="5C651312" w14:textId="77777777" w:rsidR="00F74E07" w:rsidRDefault="00F74E07" w:rsidP="00346A84">
      <w:pPr>
        <w:numPr>
          <w:ilvl w:val="0"/>
          <w:numId w:val="4"/>
        </w:numPr>
        <w:spacing w:line="360" w:lineRule="auto"/>
        <w:rPr>
          <w:rFonts w:ascii="Verdana" w:hAnsi="Verdana"/>
          <w:i/>
          <w:iCs/>
          <w:sz w:val="18"/>
          <w:szCs w:val="18"/>
        </w:rPr>
      </w:pPr>
      <w:r w:rsidRPr="00EF5C95">
        <w:rPr>
          <w:rFonts w:ascii="Verdana" w:hAnsi="Verdana"/>
          <w:i/>
          <w:iCs/>
          <w:sz w:val="18"/>
          <w:szCs w:val="18"/>
        </w:rPr>
        <w:t>Datum ontvangst Commissiedocument</w:t>
      </w:r>
    </w:p>
    <w:p w14:paraId="2C997314" w14:textId="77777777" w:rsidR="002F4952" w:rsidRPr="004E5122" w:rsidRDefault="007536E9" w:rsidP="002F4952">
      <w:pPr>
        <w:spacing w:line="360" w:lineRule="auto"/>
        <w:rPr>
          <w:rFonts w:ascii="Verdana" w:hAnsi="Verdana"/>
          <w:iCs/>
          <w:sz w:val="18"/>
          <w:szCs w:val="18"/>
        </w:rPr>
      </w:pPr>
      <w:r w:rsidRPr="004E5122">
        <w:rPr>
          <w:rFonts w:ascii="Verdana" w:hAnsi="Verdana"/>
          <w:iCs/>
          <w:sz w:val="18"/>
          <w:szCs w:val="18"/>
        </w:rPr>
        <w:t>22 september 2020</w:t>
      </w:r>
    </w:p>
    <w:p w14:paraId="15E0A26E" w14:textId="77777777" w:rsidR="002F4952" w:rsidRPr="00EF5C95" w:rsidRDefault="002F4952" w:rsidP="002F4952">
      <w:pPr>
        <w:spacing w:line="360" w:lineRule="auto"/>
        <w:rPr>
          <w:rFonts w:ascii="Verdana" w:hAnsi="Verdana"/>
          <w:i/>
          <w:iCs/>
          <w:sz w:val="18"/>
          <w:szCs w:val="18"/>
        </w:rPr>
      </w:pPr>
    </w:p>
    <w:p w14:paraId="65C41978" w14:textId="77777777" w:rsidR="00F74E07" w:rsidRDefault="00F74E07" w:rsidP="00346A84">
      <w:pPr>
        <w:numPr>
          <w:ilvl w:val="0"/>
          <w:numId w:val="4"/>
        </w:numPr>
        <w:spacing w:line="360" w:lineRule="auto"/>
        <w:rPr>
          <w:rFonts w:ascii="Verdana" w:hAnsi="Verdana"/>
          <w:i/>
          <w:iCs/>
          <w:sz w:val="18"/>
          <w:szCs w:val="18"/>
        </w:rPr>
      </w:pPr>
      <w:r w:rsidRPr="00EF5C95">
        <w:rPr>
          <w:rFonts w:ascii="Verdana" w:hAnsi="Verdana"/>
          <w:i/>
          <w:iCs/>
          <w:sz w:val="18"/>
          <w:szCs w:val="18"/>
        </w:rPr>
        <w:t>Nr. Commissiedocument</w:t>
      </w:r>
    </w:p>
    <w:p w14:paraId="2F1203AF" w14:textId="77777777" w:rsidR="002F4952" w:rsidRPr="004E5122" w:rsidRDefault="007536E9" w:rsidP="002F4952">
      <w:pPr>
        <w:spacing w:line="360" w:lineRule="auto"/>
        <w:rPr>
          <w:rFonts w:ascii="Verdana" w:hAnsi="Verdana" w:cs="Verdana"/>
          <w:sz w:val="18"/>
          <w:szCs w:val="18"/>
          <w:lang w:eastAsia="nl-NL"/>
        </w:rPr>
      </w:pPr>
      <w:r w:rsidRPr="004E5122">
        <w:rPr>
          <w:rFonts w:ascii="Verdana" w:hAnsi="Verdana" w:cs="Verdana"/>
          <w:sz w:val="18"/>
          <w:szCs w:val="18"/>
          <w:lang w:eastAsia="nl-NL"/>
        </w:rPr>
        <w:t>COM (2020) 571 final</w:t>
      </w:r>
    </w:p>
    <w:p w14:paraId="61242A69" w14:textId="77777777" w:rsidR="007536E9" w:rsidRPr="00EF5C95" w:rsidRDefault="007536E9" w:rsidP="002F4952">
      <w:pPr>
        <w:spacing w:line="360" w:lineRule="auto"/>
        <w:rPr>
          <w:rFonts w:ascii="Verdana" w:hAnsi="Verdana"/>
          <w:i/>
          <w:iCs/>
          <w:sz w:val="18"/>
          <w:szCs w:val="18"/>
        </w:rPr>
      </w:pPr>
    </w:p>
    <w:p w14:paraId="437BF62E" w14:textId="77777777" w:rsidR="00F74E07" w:rsidRDefault="00C85F76" w:rsidP="00346A84">
      <w:pPr>
        <w:numPr>
          <w:ilvl w:val="0"/>
          <w:numId w:val="4"/>
        </w:numPr>
        <w:spacing w:line="360" w:lineRule="auto"/>
        <w:rPr>
          <w:rFonts w:ascii="Verdana" w:hAnsi="Verdana"/>
          <w:i/>
          <w:iCs/>
          <w:sz w:val="18"/>
          <w:szCs w:val="18"/>
        </w:rPr>
      </w:pPr>
      <w:r>
        <w:rPr>
          <w:rFonts w:ascii="Verdana" w:hAnsi="Verdana"/>
          <w:i/>
          <w:iCs/>
          <w:sz w:val="18"/>
          <w:szCs w:val="18"/>
        </w:rPr>
        <w:t>EUR</w:t>
      </w:r>
      <w:r w:rsidR="00F74E07" w:rsidRPr="00EF5C95">
        <w:rPr>
          <w:rFonts w:ascii="Verdana" w:hAnsi="Verdana"/>
          <w:i/>
          <w:iCs/>
          <w:sz w:val="18"/>
          <w:szCs w:val="18"/>
        </w:rPr>
        <w:t>-</w:t>
      </w:r>
      <w:r>
        <w:rPr>
          <w:rFonts w:ascii="Verdana" w:hAnsi="Verdana"/>
          <w:i/>
          <w:iCs/>
          <w:sz w:val="18"/>
          <w:szCs w:val="18"/>
        </w:rPr>
        <w:t>L</w:t>
      </w:r>
      <w:r w:rsidR="00F74E07" w:rsidRPr="00EF5C95">
        <w:rPr>
          <w:rFonts w:ascii="Verdana" w:hAnsi="Verdana"/>
          <w:i/>
          <w:iCs/>
          <w:sz w:val="18"/>
          <w:szCs w:val="18"/>
        </w:rPr>
        <w:t>ex</w:t>
      </w:r>
    </w:p>
    <w:p w14:paraId="6A62DFAB" w14:textId="2C0FD0C6" w:rsidR="002F4952" w:rsidRDefault="000B3E2B" w:rsidP="002F4952">
      <w:pPr>
        <w:spacing w:line="360" w:lineRule="auto"/>
        <w:rPr>
          <w:rFonts w:ascii="Verdana" w:hAnsi="Verdana"/>
          <w:iCs/>
          <w:color w:val="ED7D31"/>
          <w:sz w:val="18"/>
          <w:szCs w:val="18"/>
        </w:rPr>
      </w:pPr>
      <w:hyperlink r:id="rId13" w:history="1">
        <w:r w:rsidR="0074278C" w:rsidRPr="00F0332D">
          <w:rPr>
            <w:rStyle w:val="Hyperlink"/>
            <w:rFonts w:ascii="Verdana" w:hAnsi="Verdana"/>
            <w:iCs/>
            <w:sz w:val="18"/>
            <w:szCs w:val="18"/>
          </w:rPr>
          <w:t>https://eur-lex.europa.eu/legal-content/NL/TXT/?uri=celex%3A52020PC0571</w:t>
        </w:r>
      </w:hyperlink>
    </w:p>
    <w:p w14:paraId="18310E00" w14:textId="77777777" w:rsidR="0074278C" w:rsidRPr="00EF5C95" w:rsidRDefault="0074278C" w:rsidP="002F4952">
      <w:pPr>
        <w:spacing w:line="360" w:lineRule="auto"/>
        <w:rPr>
          <w:rFonts w:ascii="Verdana" w:hAnsi="Verdana"/>
          <w:i/>
          <w:iCs/>
          <w:sz w:val="18"/>
          <w:szCs w:val="18"/>
        </w:rPr>
      </w:pPr>
    </w:p>
    <w:p w14:paraId="6E2B953C" w14:textId="77777777" w:rsidR="00F74E07" w:rsidRDefault="00F74E07" w:rsidP="00346A84">
      <w:pPr>
        <w:numPr>
          <w:ilvl w:val="0"/>
          <w:numId w:val="4"/>
        </w:numPr>
        <w:spacing w:line="360" w:lineRule="auto"/>
        <w:rPr>
          <w:rFonts w:ascii="Verdana" w:hAnsi="Verdana"/>
          <w:i/>
          <w:iCs/>
          <w:sz w:val="18"/>
          <w:szCs w:val="18"/>
        </w:rPr>
      </w:pPr>
      <w:r w:rsidRPr="00F30C33">
        <w:rPr>
          <w:rFonts w:ascii="Verdana" w:hAnsi="Verdana"/>
          <w:i/>
          <w:iCs/>
          <w:sz w:val="18"/>
          <w:szCs w:val="18"/>
        </w:rPr>
        <w:t>Nr.</w:t>
      </w:r>
      <w:r w:rsidR="0069559B">
        <w:rPr>
          <w:rFonts w:ascii="Verdana" w:hAnsi="Verdana"/>
          <w:i/>
          <w:iCs/>
          <w:sz w:val="18"/>
          <w:szCs w:val="18"/>
        </w:rPr>
        <w:t xml:space="preserve"> impact assessment Commissie </w:t>
      </w:r>
    </w:p>
    <w:p w14:paraId="6216D1A2" w14:textId="77777777" w:rsidR="0074278C" w:rsidRDefault="007536E9" w:rsidP="002F4952">
      <w:pPr>
        <w:spacing w:line="360" w:lineRule="auto"/>
        <w:rPr>
          <w:rFonts w:ascii="Verdana" w:hAnsi="Verdana" w:cs="Verdana"/>
          <w:sz w:val="18"/>
          <w:szCs w:val="18"/>
          <w:lang w:eastAsia="nl-NL"/>
        </w:rPr>
      </w:pPr>
      <w:r w:rsidRPr="007536E9">
        <w:rPr>
          <w:rFonts w:ascii="Verdana" w:hAnsi="Verdana" w:cs="Verdana"/>
          <w:sz w:val="18"/>
          <w:szCs w:val="18"/>
          <w:lang w:eastAsia="nl-NL"/>
        </w:rPr>
        <w:t>SEC(2020) 302 final</w:t>
      </w:r>
    </w:p>
    <w:p w14:paraId="7929A8AF" w14:textId="77777777" w:rsidR="0074278C" w:rsidRDefault="007536E9" w:rsidP="002F4952">
      <w:pPr>
        <w:spacing w:line="360" w:lineRule="auto"/>
        <w:rPr>
          <w:rFonts w:ascii="Verdana" w:hAnsi="Verdana" w:cs="Verdana"/>
          <w:sz w:val="18"/>
          <w:szCs w:val="18"/>
          <w:lang w:eastAsia="nl-NL"/>
        </w:rPr>
      </w:pPr>
      <w:r w:rsidRPr="007536E9">
        <w:rPr>
          <w:rFonts w:ascii="Verdana" w:hAnsi="Verdana" w:cs="Verdana"/>
          <w:sz w:val="18"/>
          <w:szCs w:val="18"/>
          <w:lang w:eastAsia="nl-NL"/>
        </w:rPr>
        <w:t>SWD(2020) 183 final</w:t>
      </w:r>
    </w:p>
    <w:p w14:paraId="19091124" w14:textId="25D23B24" w:rsidR="002F4952" w:rsidRPr="007536E9" w:rsidRDefault="007536E9" w:rsidP="002F4952">
      <w:pPr>
        <w:spacing w:line="360" w:lineRule="auto"/>
        <w:rPr>
          <w:rFonts w:ascii="Verdana" w:hAnsi="Verdana" w:cs="Verdana"/>
          <w:sz w:val="18"/>
          <w:szCs w:val="18"/>
          <w:lang w:eastAsia="nl-NL"/>
        </w:rPr>
      </w:pPr>
      <w:r w:rsidRPr="007536E9">
        <w:rPr>
          <w:rFonts w:ascii="Verdana" w:hAnsi="Verdana" w:cs="Verdana"/>
          <w:sz w:val="18"/>
          <w:szCs w:val="18"/>
          <w:lang w:eastAsia="nl-NL"/>
        </w:rPr>
        <w:t>SWD(2020) 184 final</w:t>
      </w:r>
    </w:p>
    <w:p w14:paraId="0BE34CC0" w14:textId="77777777" w:rsidR="007536E9" w:rsidRPr="00F30C33" w:rsidRDefault="007536E9" w:rsidP="002F4952">
      <w:pPr>
        <w:spacing w:line="360" w:lineRule="auto"/>
        <w:rPr>
          <w:rFonts w:ascii="Verdana" w:hAnsi="Verdana"/>
          <w:i/>
          <w:iCs/>
          <w:sz w:val="18"/>
          <w:szCs w:val="18"/>
        </w:rPr>
      </w:pPr>
    </w:p>
    <w:p w14:paraId="2A041DD8" w14:textId="77777777" w:rsidR="00F74E07" w:rsidRDefault="00F74E07" w:rsidP="00346A84">
      <w:pPr>
        <w:numPr>
          <w:ilvl w:val="0"/>
          <w:numId w:val="4"/>
        </w:numPr>
        <w:spacing w:line="360" w:lineRule="auto"/>
        <w:rPr>
          <w:rFonts w:ascii="Verdana" w:hAnsi="Verdana"/>
          <w:i/>
          <w:iCs/>
          <w:sz w:val="18"/>
          <w:szCs w:val="18"/>
        </w:rPr>
      </w:pPr>
      <w:r w:rsidRPr="00EF5C95">
        <w:rPr>
          <w:rFonts w:ascii="Verdana" w:hAnsi="Verdana"/>
          <w:i/>
          <w:iCs/>
          <w:sz w:val="18"/>
          <w:szCs w:val="18"/>
        </w:rPr>
        <w:t>Behandelingstraject Raad</w:t>
      </w:r>
    </w:p>
    <w:p w14:paraId="7AF9B4DE" w14:textId="16F40D7E" w:rsidR="002F4952" w:rsidRPr="004E5122" w:rsidRDefault="002F4952" w:rsidP="002F4952">
      <w:pPr>
        <w:spacing w:line="360" w:lineRule="auto"/>
        <w:rPr>
          <w:rFonts w:ascii="Verdana" w:hAnsi="Verdana"/>
          <w:iCs/>
          <w:sz w:val="18"/>
          <w:szCs w:val="18"/>
        </w:rPr>
      </w:pPr>
      <w:r w:rsidRPr="004E5122">
        <w:rPr>
          <w:rFonts w:ascii="Verdana" w:hAnsi="Verdana"/>
          <w:iCs/>
          <w:sz w:val="18"/>
          <w:szCs w:val="18"/>
        </w:rPr>
        <w:t>Raad Werkgelegenheid, Sociaal Beleid, Volksgezondheid en Consumentenzaken (</w:t>
      </w:r>
      <w:r w:rsidR="0074278C">
        <w:rPr>
          <w:rFonts w:ascii="Verdana" w:hAnsi="Verdana"/>
          <w:iCs/>
          <w:sz w:val="18"/>
          <w:szCs w:val="18"/>
        </w:rPr>
        <w:t>WSBVC</w:t>
      </w:r>
      <w:r w:rsidRPr="004E5122">
        <w:rPr>
          <w:rFonts w:ascii="Verdana" w:hAnsi="Verdana"/>
          <w:iCs/>
          <w:sz w:val="18"/>
          <w:szCs w:val="18"/>
        </w:rPr>
        <w:t>)</w:t>
      </w:r>
    </w:p>
    <w:p w14:paraId="589C9AD7" w14:textId="77777777" w:rsidR="002F4952" w:rsidRDefault="002F4952" w:rsidP="002F4952">
      <w:pPr>
        <w:spacing w:line="360" w:lineRule="auto"/>
        <w:rPr>
          <w:rFonts w:ascii="Verdana" w:hAnsi="Verdana"/>
          <w:i/>
          <w:iCs/>
          <w:sz w:val="18"/>
          <w:szCs w:val="18"/>
        </w:rPr>
      </w:pPr>
    </w:p>
    <w:p w14:paraId="0AECFD0E" w14:textId="77777777" w:rsidR="00330FE7" w:rsidRDefault="00330FE7" w:rsidP="00346A84">
      <w:pPr>
        <w:numPr>
          <w:ilvl w:val="0"/>
          <w:numId w:val="4"/>
        </w:numPr>
        <w:spacing w:line="360" w:lineRule="auto"/>
        <w:rPr>
          <w:rFonts w:ascii="Verdana" w:hAnsi="Verdana"/>
          <w:i/>
          <w:iCs/>
          <w:sz w:val="18"/>
          <w:szCs w:val="18"/>
        </w:rPr>
      </w:pPr>
      <w:r>
        <w:rPr>
          <w:rFonts w:ascii="Verdana" w:hAnsi="Verdana"/>
          <w:i/>
          <w:iCs/>
          <w:sz w:val="18"/>
          <w:szCs w:val="18"/>
        </w:rPr>
        <w:t>Eerstverantwoordelijk ministerie</w:t>
      </w:r>
    </w:p>
    <w:p w14:paraId="40B4B87C" w14:textId="77777777" w:rsidR="002F4952" w:rsidRPr="004E5122" w:rsidRDefault="002F4952" w:rsidP="002F4952">
      <w:pPr>
        <w:spacing w:line="360" w:lineRule="auto"/>
        <w:rPr>
          <w:rFonts w:ascii="Verdana" w:hAnsi="Verdana"/>
          <w:iCs/>
          <w:sz w:val="18"/>
          <w:szCs w:val="18"/>
        </w:rPr>
      </w:pPr>
      <w:r w:rsidRPr="004E5122">
        <w:rPr>
          <w:rFonts w:ascii="Verdana" w:hAnsi="Verdana"/>
          <w:iCs/>
          <w:sz w:val="18"/>
          <w:szCs w:val="18"/>
        </w:rPr>
        <w:t>Ministerie van Sociale Zaken en Werkgelegenheid</w:t>
      </w:r>
    </w:p>
    <w:p w14:paraId="701641F0" w14:textId="77777777" w:rsidR="002F4952" w:rsidRDefault="002F4952" w:rsidP="002F4952">
      <w:pPr>
        <w:spacing w:line="360" w:lineRule="auto"/>
        <w:rPr>
          <w:rFonts w:ascii="Verdana" w:hAnsi="Verdana"/>
          <w:i/>
          <w:iCs/>
          <w:sz w:val="18"/>
          <w:szCs w:val="18"/>
        </w:rPr>
      </w:pPr>
    </w:p>
    <w:p w14:paraId="20EC8CAD" w14:textId="77777777" w:rsidR="00330FE7" w:rsidRDefault="00330FE7" w:rsidP="00346A84">
      <w:pPr>
        <w:numPr>
          <w:ilvl w:val="0"/>
          <w:numId w:val="4"/>
        </w:numPr>
        <w:spacing w:line="360" w:lineRule="auto"/>
        <w:rPr>
          <w:rFonts w:ascii="Verdana" w:hAnsi="Verdana"/>
          <w:i/>
          <w:iCs/>
          <w:sz w:val="18"/>
          <w:szCs w:val="18"/>
        </w:rPr>
      </w:pPr>
      <w:r>
        <w:rPr>
          <w:rFonts w:ascii="Verdana" w:hAnsi="Verdana"/>
          <w:i/>
          <w:iCs/>
          <w:sz w:val="18"/>
          <w:szCs w:val="18"/>
        </w:rPr>
        <w:t>Rechtsbasis</w:t>
      </w:r>
    </w:p>
    <w:p w14:paraId="2DDD7F52" w14:textId="77777777" w:rsidR="007536E9" w:rsidRPr="0072784C" w:rsidRDefault="007536E9" w:rsidP="007536E9">
      <w:pPr>
        <w:spacing w:line="360" w:lineRule="auto"/>
        <w:rPr>
          <w:rFonts w:ascii="Verdana" w:hAnsi="Verdana"/>
          <w:iCs/>
          <w:sz w:val="18"/>
          <w:szCs w:val="18"/>
        </w:rPr>
      </w:pPr>
      <w:r w:rsidRPr="0072784C">
        <w:rPr>
          <w:rFonts w:ascii="Verdana" w:hAnsi="Verdana"/>
          <w:iCs/>
          <w:sz w:val="18"/>
          <w:szCs w:val="18"/>
        </w:rPr>
        <w:t>Artikel 153, lid 2 onder b jo. 153 lid 1 onder a van het Verdrag betreffende de werking van de</w:t>
      </w:r>
    </w:p>
    <w:p w14:paraId="256A48A7" w14:textId="77777777" w:rsidR="002F4952" w:rsidRPr="008F31C1" w:rsidRDefault="007536E9" w:rsidP="007536E9">
      <w:pPr>
        <w:spacing w:line="360" w:lineRule="auto"/>
        <w:rPr>
          <w:rFonts w:ascii="Verdana" w:hAnsi="Verdana"/>
          <w:iCs/>
          <w:sz w:val="18"/>
          <w:szCs w:val="18"/>
        </w:rPr>
      </w:pPr>
      <w:r w:rsidRPr="0072784C">
        <w:rPr>
          <w:rFonts w:ascii="Verdana" w:hAnsi="Verdana"/>
          <w:iCs/>
          <w:sz w:val="18"/>
          <w:szCs w:val="18"/>
        </w:rPr>
        <w:t>Europese Unie (VWEU).</w:t>
      </w:r>
    </w:p>
    <w:p w14:paraId="7971FCAA" w14:textId="77777777" w:rsidR="002F4952" w:rsidRDefault="002F4952" w:rsidP="002F4952">
      <w:pPr>
        <w:spacing w:line="360" w:lineRule="auto"/>
        <w:rPr>
          <w:rFonts w:ascii="Verdana" w:hAnsi="Verdana"/>
          <w:i/>
          <w:iCs/>
          <w:sz w:val="18"/>
          <w:szCs w:val="18"/>
        </w:rPr>
      </w:pPr>
    </w:p>
    <w:p w14:paraId="24F70955" w14:textId="77777777" w:rsidR="00330FE7" w:rsidRDefault="00330FE7" w:rsidP="00346A84">
      <w:pPr>
        <w:numPr>
          <w:ilvl w:val="0"/>
          <w:numId w:val="4"/>
        </w:numPr>
        <w:spacing w:line="360" w:lineRule="auto"/>
        <w:rPr>
          <w:rFonts w:ascii="Verdana" w:hAnsi="Verdana"/>
          <w:i/>
          <w:iCs/>
          <w:sz w:val="18"/>
          <w:szCs w:val="18"/>
        </w:rPr>
      </w:pPr>
      <w:r>
        <w:rPr>
          <w:rFonts w:ascii="Verdana" w:hAnsi="Verdana"/>
          <w:i/>
          <w:iCs/>
          <w:sz w:val="18"/>
          <w:szCs w:val="18"/>
        </w:rPr>
        <w:t>Besluitvormingsprocedure Raad</w:t>
      </w:r>
    </w:p>
    <w:p w14:paraId="342DDA38" w14:textId="77777777" w:rsidR="002F4952" w:rsidRPr="002F4952" w:rsidRDefault="007536E9" w:rsidP="002F4952">
      <w:pPr>
        <w:spacing w:line="360" w:lineRule="auto"/>
        <w:rPr>
          <w:rFonts w:ascii="Verdana" w:hAnsi="Verdana"/>
          <w:iCs/>
          <w:sz w:val="18"/>
          <w:szCs w:val="18"/>
        </w:rPr>
      </w:pPr>
      <w:r>
        <w:rPr>
          <w:rFonts w:ascii="Verdana" w:hAnsi="Verdana"/>
          <w:iCs/>
          <w:sz w:val="18"/>
          <w:szCs w:val="18"/>
        </w:rPr>
        <w:t>Gekwalificeerde</w:t>
      </w:r>
      <w:r w:rsidR="002F4952">
        <w:rPr>
          <w:rFonts w:ascii="Verdana" w:hAnsi="Verdana"/>
          <w:iCs/>
          <w:sz w:val="18"/>
          <w:szCs w:val="18"/>
        </w:rPr>
        <w:t xml:space="preserve"> meerderheid</w:t>
      </w:r>
    </w:p>
    <w:p w14:paraId="5E19761A" w14:textId="77777777" w:rsidR="002F4952" w:rsidRDefault="002F4952" w:rsidP="002F4952">
      <w:pPr>
        <w:spacing w:line="360" w:lineRule="auto"/>
        <w:rPr>
          <w:rFonts w:ascii="Verdana" w:hAnsi="Verdana"/>
          <w:i/>
          <w:iCs/>
          <w:sz w:val="18"/>
          <w:szCs w:val="18"/>
        </w:rPr>
      </w:pPr>
    </w:p>
    <w:p w14:paraId="11D4A288" w14:textId="77777777" w:rsidR="00330FE7" w:rsidRDefault="00330FE7" w:rsidP="00346A84">
      <w:pPr>
        <w:numPr>
          <w:ilvl w:val="0"/>
          <w:numId w:val="4"/>
        </w:numPr>
        <w:spacing w:line="360" w:lineRule="auto"/>
        <w:rPr>
          <w:rFonts w:ascii="Verdana" w:hAnsi="Verdana"/>
          <w:i/>
          <w:iCs/>
          <w:sz w:val="18"/>
          <w:szCs w:val="18"/>
        </w:rPr>
      </w:pPr>
      <w:r>
        <w:rPr>
          <w:rFonts w:ascii="Verdana" w:hAnsi="Verdana"/>
          <w:i/>
          <w:iCs/>
          <w:sz w:val="18"/>
          <w:szCs w:val="18"/>
        </w:rPr>
        <w:t>Rol Europees Parlement</w:t>
      </w:r>
    </w:p>
    <w:p w14:paraId="256C0224" w14:textId="77777777" w:rsidR="002F4952" w:rsidRPr="002F4952" w:rsidRDefault="002F4952" w:rsidP="002F4952">
      <w:pPr>
        <w:spacing w:line="360" w:lineRule="auto"/>
        <w:rPr>
          <w:rFonts w:ascii="Verdana" w:hAnsi="Verdana"/>
          <w:iCs/>
          <w:sz w:val="18"/>
          <w:szCs w:val="18"/>
        </w:rPr>
      </w:pPr>
      <w:r>
        <w:rPr>
          <w:rFonts w:ascii="Verdana" w:hAnsi="Verdana"/>
          <w:iCs/>
          <w:sz w:val="18"/>
          <w:szCs w:val="18"/>
        </w:rPr>
        <w:t>Medebeslissing</w:t>
      </w:r>
    </w:p>
    <w:p w14:paraId="3B9AE48A" w14:textId="77777777" w:rsidR="009A3B1D" w:rsidRPr="00DA19A2" w:rsidRDefault="001F1EAA" w:rsidP="00DA19A2">
      <w:pPr>
        <w:spacing w:line="360" w:lineRule="auto"/>
        <w:rPr>
          <w:rFonts w:ascii="Verdana" w:hAnsi="Verdana"/>
          <w:b/>
          <w:sz w:val="18"/>
          <w:szCs w:val="18"/>
        </w:rPr>
      </w:pPr>
      <w:r>
        <w:rPr>
          <w:rFonts w:ascii="Verdana" w:hAnsi="Verdana"/>
          <w:b/>
          <w:sz w:val="18"/>
          <w:szCs w:val="18"/>
        </w:rPr>
        <w:br w:type="page"/>
      </w:r>
    </w:p>
    <w:p w14:paraId="403E4438" w14:textId="77777777" w:rsidR="00CB7FF8" w:rsidRPr="00DA19A2" w:rsidRDefault="00E539A8" w:rsidP="00346A84">
      <w:pPr>
        <w:numPr>
          <w:ilvl w:val="0"/>
          <w:numId w:val="3"/>
        </w:numPr>
        <w:spacing w:line="360" w:lineRule="auto"/>
        <w:rPr>
          <w:rFonts w:ascii="Verdana" w:hAnsi="Verdana"/>
          <w:b/>
          <w:sz w:val="18"/>
          <w:szCs w:val="18"/>
        </w:rPr>
      </w:pPr>
      <w:r>
        <w:rPr>
          <w:rFonts w:ascii="Verdana" w:hAnsi="Verdana"/>
          <w:b/>
          <w:sz w:val="18"/>
          <w:szCs w:val="18"/>
        </w:rPr>
        <w:lastRenderedPageBreak/>
        <w:t>Essentie</w:t>
      </w:r>
      <w:r w:rsidR="00CB7FF8" w:rsidRPr="00DA19A2">
        <w:rPr>
          <w:rFonts w:ascii="Verdana" w:hAnsi="Verdana"/>
          <w:b/>
          <w:sz w:val="18"/>
          <w:szCs w:val="18"/>
        </w:rPr>
        <w:t xml:space="preserve"> voorstel </w:t>
      </w:r>
    </w:p>
    <w:p w14:paraId="2FCBFA20" w14:textId="77777777" w:rsidR="00CB7FF8" w:rsidRPr="00462513" w:rsidRDefault="00CB7FF8" w:rsidP="00346A84">
      <w:pPr>
        <w:pStyle w:val="Spreekpunten"/>
        <w:numPr>
          <w:ilvl w:val="0"/>
          <w:numId w:val="5"/>
        </w:numPr>
        <w:rPr>
          <w:rFonts w:ascii="Verdana" w:hAnsi="Verdana"/>
          <w:i/>
          <w:iCs/>
          <w:sz w:val="18"/>
          <w:szCs w:val="18"/>
          <w:lang w:val="nl-NL" w:eastAsia="zh-CN"/>
        </w:rPr>
      </w:pPr>
      <w:r w:rsidRPr="00462513">
        <w:rPr>
          <w:rFonts w:ascii="Verdana" w:hAnsi="Verdana"/>
          <w:i/>
          <w:iCs/>
          <w:sz w:val="18"/>
          <w:szCs w:val="18"/>
          <w:lang w:val="nl-NL" w:eastAsia="zh-CN"/>
        </w:rPr>
        <w:t>Inhoud voorstel</w:t>
      </w:r>
    </w:p>
    <w:p w14:paraId="3F47790A" w14:textId="160DA2CF" w:rsidR="00CA7480" w:rsidRPr="00462513" w:rsidRDefault="00CA7480" w:rsidP="00C4792B">
      <w:pPr>
        <w:autoSpaceDE w:val="0"/>
        <w:autoSpaceDN w:val="0"/>
        <w:adjustRightInd w:val="0"/>
        <w:spacing w:line="360" w:lineRule="auto"/>
        <w:rPr>
          <w:rFonts w:ascii="Verdana" w:hAnsi="Verdana" w:cs="Verdana"/>
          <w:sz w:val="18"/>
          <w:szCs w:val="18"/>
          <w:lang w:eastAsia="nl-NL"/>
        </w:rPr>
      </w:pPr>
      <w:r w:rsidRPr="00462513">
        <w:rPr>
          <w:rFonts w:ascii="Verdana" w:hAnsi="Verdana" w:cs="Verdana"/>
          <w:sz w:val="18"/>
          <w:szCs w:val="18"/>
          <w:lang w:eastAsia="nl-NL"/>
        </w:rPr>
        <w:t xml:space="preserve">De Europese Commissie heeft een richtlijnvoorstel uitgebracht voor wijziging van </w:t>
      </w:r>
      <w:r w:rsidR="00471286">
        <w:rPr>
          <w:rFonts w:ascii="Verdana" w:hAnsi="Verdana" w:cs="Verdana"/>
          <w:sz w:val="18"/>
          <w:szCs w:val="18"/>
          <w:lang w:eastAsia="nl-NL"/>
        </w:rPr>
        <w:t xml:space="preserve">de </w:t>
      </w:r>
      <w:r w:rsidRPr="00462513">
        <w:rPr>
          <w:rFonts w:ascii="Verdana" w:hAnsi="Verdana" w:cs="Verdana"/>
          <w:sz w:val="18"/>
          <w:szCs w:val="18"/>
          <w:lang w:eastAsia="nl-NL"/>
        </w:rPr>
        <w:t>Richtlijn</w:t>
      </w:r>
    </w:p>
    <w:p w14:paraId="33FB3F30" w14:textId="0AD1595A" w:rsidR="00CA7480" w:rsidRPr="00462513" w:rsidRDefault="00CA7480" w:rsidP="00C4792B">
      <w:pPr>
        <w:autoSpaceDE w:val="0"/>
        <w:autoSpaceDN w:val="0"/>
        <w:adjustRightInd w:val="0"/>
        <w:spacing w:line="360" w:lineRule="auto"/>
        <w:rPr>
          <w:rFonts w:ascii="Verdana" w:hAnsi="Verdana" w:cs="Verdana"/>
          <w:sz w:val="18"/>
          <w:szCs w:val="18"/>
          <w:lang w:eastAsia="nl-NL"/>
        </w:rPr>
      </w:pPr>
      <w:r w:rsidRPr="00462513">
        <w:rPr>
          <w:rFonts w:ascii="Verdana" w:hAnsi="Verdana" w:cs="Verdana"/>
          <w:sz w:val="18"/>
          <w:szCs w:val="18"/>
          <w:lang w:eastAsia="nl-NL"/>
        </w:rPr>
        <w:t>betreffende de bescherming van werknemers tegen de risico’s van blootstelling</w:t>
      </w:r>
    </w:p>
    <w:p w14:paraId="48B3E403" w14:textId="66A25401" w:rsidR="00CA7480" w:rsidRPr="00462513" w:rsidRDefault="00CA7480" w:rsidP="00C4792B">
      <w:pPr>
        <w:autoSpaceDE w:val="0"/>
        <w:autoSpaceDN w:val="0"/>
        <w:adjustRightInd w:val="0"/>
        <w:spacing w:line="360" w:lineRule="auto"/>
        <w:rPr>
          <w:rFonts w:ascii="Verdana" w:hAnsi="Verdana" w:cs="Verdana"/>
          <w:sz w:val="18"/>
          <w:szCs w:val="18"/>
          <w:lang w:eastAsia="nl-NL"/>
        </w:rPr>
      </w:pPr>
      <w:r w:rsidRPr="00462513">
        <w:rPr>
          <w:rFonts w:ascii="Verdana" w:hAnsi="Verdana" w:cs="Verdana"/>
          <w:sz w:val="18"/>
          <w:szCs w:val="18"/>
          <w:lang w:eastAsia="nl-NL"/>
        </w:rPr>
        <w:t>aan carcinogene of mutagene</w:t>
      </w:r>
      <w:r w:rsidR="00842702">
        <w:rPr>
          <w:rStyle w:val="FootnoteReference"/>
          <w:rFonts w:ascii="Verdana" w:hAnsi="Verdana" w:cs="Verdana"/>
          <w:sz w:val="18"/>
          <w:szCs w:val="18"/>
          <w:lang w:eastAsia="nl-NL"/>
        </w:rPr>
        <w:footnoteReference w:id="1"/>
      </w:r>
      <w:r w:rsidRPr="00462513">
        <w:rPr>
          <w:rFonts w:ascii="Verdana" w:hAnsi="Verdana" w:cs="Verdana"/>
          <w:sz w:val="18"/>
          <w:szCs w:val="18"/>
          <w:lang w:eastAsia="nl-NL"/>
        </w:rPr>
        <w:t xml:space="preserve"> agentia op het werk (Carcinogenenrichtlijn). In 20</w:t>
      </w:r>
      <w:r w:rsidR="00C4792B" w:rsidRPr="00462513">
        <w:rPr>
          <w:rFonts w:ascii="Verdana" w:hAnsi="Verdana" w:cs="Verdana"/>
          <w:sz w:val="18"/>
          <w:szCs w:val="18"/>
          <w:lang w:eastAsia="nl-NL"/>
        </w:rPr>
        <w:t xml:space="preserve">16, </w:t>
      </w:r>
      <w:r w:rsidRPr="00462513">
        <w:rPr>
          <w:rFonts w:ascii="Verdana" w:hAnsi="Verdana" w:cs="Verdana"/>
          <w:sz w:val="18"/>
          <w:szCs w:val="18"/>
          <w:lang w:eastAsia="nl-NL"/>
        </w:rPr>
        <w:t>2017</w:t>
      </w:r>
      <w:r w:rsidR="00C4792B" w:rsidRPr="00462513">
        <w:rPr>
          <w:rFonts w:ascii="Verdana" w:hAnsi="Verdana" w:cs="Verdana"/>
          <w:sz w:val="18"/>
          <w:szCs w:val="18"/>
          <w:lang w:eastAsia="nl-NL"/>
        </w:rPr>
        <w:t xml:space="preserve"> en 2018</w:t>
      </w:r>
      <w:r w:rsidR="00236E7B">
        <w:rPr>
          <w:rFonts w:ascii="Verdana" w:hAnsi="Verdana" w:cs="Verdana"/>
          <w:sz w:val="18"/>
          <w:szCs w:val="18"/>
          <w:lang w:eastAsia="nl-NL"/>
        </w:rPr>
        <w:t xml:space="preserve"> </w:t>
      </w:r>
      <w:r w:rsidR="00C4792B" w:rsidRPr="00462513">
        <w:rPr>
          <w:rFonts w:ascii="Verdana" w:hAnsi="Verdana" w:cs="Verdana"/>
          <w:sz w:val="18"/>
          <w:szCs w:val="18"/>
          <w:lang w:eastAsia="nl-NL"/>
        </w:rPr>
        <w:t xml:space="preserve">zijn een eerste, </w:t>
      </w:r>
      <w:r w:rsidRPr="00462513">
        <w:rPr>
          <w:rFonts w:ascii="Verdana" w:hAnsi="Verdana" w:cs="Verdana"/>
          <w:sz w:val="18"/>
          <w:szCs w:val="18"/>
          <w:lang w:eastAsia="nl-NL"/>
        </w:rPr>
        <w:t xml:space="preserve">tweede </w:t>
      </w:r>
      <w:r w:rsidR="00C4792B" w:rsidRPr="00462513">
        <w:rPr>
          <w:rFonts w:ascii="Verdana" w:hAnsi="Verdana" w:cs="Verdana"/>
          <w:sz w:val="18"/>
          <w:szCs w:val="18"/>
          <w:lang w:eastAsia="nl-NL"/>
        </w:rPr>
        <w:t xml:space="preserve">en derde </w:t>
      </w:r>
      <w:r w:rsidRPr="00462513">
        <w:rPr>
          <w:rFonts w:ascii="Verdana" w:hAnsi="Verdana" w:cs="Verdana"/>
          <w:sz w:val="18"/>
          <w:szCs w:val="18"/>
          <w:lang w:eastAsia="nl-NL"/>
        </w:rPr>
        <w:t xml:space="preserve">uitbreidingsvoorstel uitgebracht met grenswaarden voor </w:t>
      </w:r>
      <w:r w:rsidR="00FF380F">
        <w:rPr>
          <w:rFonts w:ascii="Verdana" w:hAnsi="Verdana" w:cs="Verdana"/>
          <w:sz w:val="18"/>
          <w:szCs w:val="18"/>
          <w:lang w:eastAsia="nl-NL"/>
        </w:rPr>
        <w:t>in totaal 22</w:t>
      </w:r>
      <w:r w:rsidR="00C4792B" w:rsidRPr="00462513">
        <w:rPr>
          <w:rFonts w:ascii="Verdana" w:hAnsi="Verdana" w:cs="Verdana"/>
          <w:sz w:val="18"/>
          <w:szCs w:val="18"/>
          <w:lang w:eastAsia="nl-NL"/>
        </w:rPr>
        <w:t xml:space="preserve"> </w:t>
      </w:r>
      <w:r w:rsidRPr="00462513">
        <w:rPr>
          <w:rFonts w:ascii="Verdana" w:hAnsi="Verdana" w:cs="Verdana"/>
          <w:sz w:val="18"/>
          <w:szCs w:val="18"/>
          <w:lang w:eastAsia="nl-NL"/>
        </w:rPr>
        <w:t>nieuwe stoffen en aanscherping van 2 bestaande grenswaarden. Hiervoor zijn BNC-Fiches</w:t>
      </w:r>
    </w:p>
    <w:p w14:paraId="383F1D2F" w14:textId="74E262A1" w:rsidR="00CA7480" w:rsidRDefault="00CA7480" w:rsidP="00462513">
      <w:pPr>
        <w:autoSpaceDE w:val="0"/>
        <w:autoSpaceDN w:val="0"/>
        <w:adjustRightInd w:val="0"/>
        <w:spacing w:line="360" w:lineRule="auto"/>
        <w:rPr>
          <w:rFonts w:ascii="Verdana" w:hAnsi="Verdana" w:cs="Verdana"/>
          <w:sz w:val="18"/>
          <w:szCs w:val="18"/>
          <w:lang w:eastAsia="nl-NL"/>
        </w:rPr>
      </w:pPr>
      <w:r w:rsidRPr="00462513">
        <w:rPr>
          <w:rFonts w:ascii="Verdana" w:hAnsi="Verdana" w:cs="Verdana"/>
          <w:sz w:val="18"/>
          <w:szCs w:val="18"/>
          <w:lang w:eastAsia="nl-NL"/>
        </w:rPr>
        <w:t>opgesteld</w:t>
      </w:r>
      <w:r w:rsidR="00C4792B" w:rsidRPr="00462513">
        <w:rPr>
          <w:rStyle w:val="FootnoteReference"/>
          <w:rFonts w:ascii="Verdana" w:hAnsi="Verdana" w:cs="Verdana"/>
          <w:sz w:val="18"/>
          <w:szCs w:val="18"/>
          <w:lang w:eastAsia="nl-NL"/>
        </w:rPr>
        <w:footnoteReference w:id="2"/>
      </w:r>
      <w:r w:rsidRPr="00462513">
        <w:rPr>
          <w:rFonts w:ascii="Verdana" w:hAnsi="Verdana" w:cs="Verdana"/>
          <w:sz w:val="18"/>
          <w:szCs w:val="18"/>
          <w:lang w:eastAsia="nl-NL"/>
        </w:rPr>
        <w:t xml:space="preserve">. Het nu voorliggende voorstel betreft een </w:t>
      </w:r>
      <w:r w:rsidR="00462513" w:rsidRPr="00462513">
        <w:rPr>
          <w:rFonts w:ascii="Verdana" w:hAnsi="Verdana" w:cs="Verdana"/>
          <w:sz w:val="18"/>
          <w:szCs w:val="18"/>
          <w:lang w:eastAsia="nl-NL"/>
        </w:rPr>
        <w:t>vierde</w:t>
      </w:r>
      <w:r w:rsidRPr="00462513">
        <w:rPr>
          <w:rFonts w:ascii="Verdana" w:hAnsi="Verdana" w:cs="Verdana"/>
          <w:sz w:val="18"/>
          <w:szCs w:val="18"/>
          <w:lang w:eastAsia="nl-NL"/>
        </w:rPr>
        <w:t xml:space="preserve"> uitbreiding.</w:t>
      </w:r>
    </w:p>
    <w:p w14:paraId="2BEEB5D2" w14:textId="77777777" w:rsidR="0074278C" w:rsidRPr="00462513" w:rsidRDefault="0074278C" w:rsidP="00462513">
      <w:pPr>
        <w:autoSpaceDE w:val="0"/>
        <w:autoSpaceDN w:val="0"/>
        <w:adjustRightInd w:val="0"/>
        <w:spacing w:line="360" w:lineRule="auto"/>
        <w:rPr>
          <w:rFonts w:ascii="Verdana" w:hAnsi="Verdana" w:cs="Verdana"/>
          <w:sz w:val="18"/>
          <w:szCs w:val="18"/>
          <w:lang w:eastAsia="nl-NL"/>
        </w:rPr>
      </w:pPr>
    </w:p>
    <w:p w14:paraId="684F6299" w14:textId="3DCC5717" w:rsidR="00CA7480" w:rsidRPr="00462513" w:rsidRDefault="00CA7480" w:rsidP="0074278C">
      <w:pPr>
        <w:autoSpaceDE w:val="0"/>
        <w:autoSpaceDN w:val="0"/>
        <w:adjustRightInd w:val="0"/>
        <w:spacing w:line="360" w:lineRule="auto"/>
        <w:rPr>
          <w:rFonts w:ascii="Verdana" w:hAnsi="Verdana" w:cs="Verdana"/>
          <w:sz w:val="18"/>
          <w:szCs w:val="18"/>
          <w:lang w:eastAsia="nl-NL"/>
        </w:rPr>
      </w:pPr>
      <w:r w:rsidRPr="00462513">
        <w:rPr>
          <w:rFonts w:ascii="Verdana" w:hAnsi="Verdana" w:cs="Verdana"/>
          <w:sz w:val="18"/>
          <w:szCs w:val="18"/>
          <w:lang w:eastAsia="nl-NL"/>
        </w:rPr>
        <w:t>Doel van de onderliggende richtlijn is tweeledig. In de eerste plaats beoogt het voorstel de</w:t>
      </w:r>
      <w:r w:rsidR="00236E7B">
        <w:rPr>
          <w:rFonts w:ascii="Verdana" w:hAnsi="Verdana" w:cs="Verdana"/>
          <w:sz w:val="18"/>
          <w:szCs w:val="18"/>
          <w:lang w:eastAsia="nl-NL"/>
        </w:rPr>
        <w:t xml:space="preserve"> </w:t>
      </w:r>
      <w:r w:rsidRPr="00462513">
        <w:rPr>
          <w:rFonts w:ascii="Verdana" w:hAnsi="Verdana" w:cs="Verdana"/>
          <w:sz w:val="18"/>
          <w:szCs w:val="18"/>
          <w:lang w:eastAsia="nl-NL"/>
        </w:rPr>
        <w:t>bescherming van de gezondheid van werknemers te verbeteren door de blootstelling aan</w:t>
      </w:r>
      <w:r w:rsidR="00236E7B">
        <w:rPr>
          <w:rFonts w:ascii="Verdana" w:hAnsi="Verdana" w:cs="Verdana"/>
          <w:sz w:val="18"/>
          <w:szCs w:val="18"/>
          <w:lang w:eastAsia="nl-NL"/>
        </w:rPr>
        <w:t xml:space="preserve"> </w:t>
      </w:r>
      <w:r w:rsidRPr="00462513">
        <w:rPr>
          <w:rFonts w:ascii="Verdana" w:hAnsi="Verdana" w:cs="Verdana"/>
          <w:sz w:val="18"/>
          <w:szCs w:val="18"/>
          <w:lang w:eastAsia="nl-NL"/>
        </w:rPr>
        <w:t xml:space="preserve">carcinogene stoffen op de werkplek te verminderen. </w:t>
      </w:r>
      <w:r w:rsidR="0074278C" w:rsidRPr="007B6688">
        <w:rPr>
          <w:rFonts w:ascii="Verdana" w:hAnsi="Verdana" w:cs="Verdana"/>
          <w:sz w:val="18"/>
          <w:szCs w:val="18"/>
          <w:lang w:eastAsia="nl-NL"/>
        </w:rPr>
        <w:t>Van de werkgerelateerde sterfgevallen in de Europese Unie wordt 52% toegeschreven aan</w:t>
      </w:r>
      <w:r w:rsidR="0074278C">
        <w:rPr>
          <w:rFonts w:ascii="Verdana" w:hAnsi="Verdana" w:cs="Verdana"/>
          <w:sz w:val="18"/>
          <w:szCs w:val="18"/>
          <w:lang w:eastAsia="nl-NL"/>
        </w:rPr>
        <w:t xml:space="preserve"> </w:t>
      </w:r>
      <w:r w:rsidR="0074278C" w:rsidRPr="007B6688">
        <w:rPr>
          <w:rFonts w:ascii="Verdana" w:hAnsi="Verdana" w:cs="Verdana"/>
          <w:sz w:val="18"/>
          <w:szCs w:val="18"/>
          <w:lang w:eastAsia="nl-NL"/>
        </w:rPr>
        <w:t>kanker. Daarmee is kanker verreweg de belangrijkste oorzaak van sterfgevallen als gevolg van</w:t>
      </w:r>
      <w:r w:rsidR="0074278C">
        <w:rPr>
          <w:rFonts w:ascii="Verdana" w:hAnsi="Verdana" w:cs="Verdana"/>
          <w:sz w:val="18"/>
          <w:szCs w:val="18"/>
          <w:lang w:eastAsia="nl-NL"/>
        </w:rPr>
        <w:t xml:space="preserve"> </w:t>
      </w:r>
      <w:r w:rsidR="0074278C" w:rsidRPr="007B6688">
        <w:rPr>
          <w:rFonts w:ascii="Verdana" w:hAnsi="Verdana" w:cs="Verdana"/>
          <w:sz w:val="18"/>
          <w:szCs w:val="18"/>
          <w:lang w:eastAsia="nl-NL"/>
        </w:rPr>
        <w:t>werk</w:t>
      </w:r>
      <w:r w:rsidR="0074278C" w:rsidRPr="007B6688">
        <w:rPr>
          <w:rStyle w:val="FootnoteReference"/>
          <w:rFonts w:ascii="Verdana" w:hAnsi="Verdana" w:cs="Verdana"/>
          <w:sz w:val="18"/>
          <w:szCs w:val="18"/>
          <w:lang w:eastAsia="nl-NL"/>
        </w:rPr>
        <w:footnoteReference w:id="3"/>
      </w:r>
      <w:r w:rsidR="0074278C" w:rsidRPr="007B6688">
        <w:rPr>
          <w:rFonts w:ascii="Verdana" w:hAnsi="Verdana" w:cs="Verdana"/>
          <w:sz w:val="18"/>
          <w:szCs w:val="18"/>
          <w:lang w:eastAsia="nl-NL"/>
        </w:rPr>
        <w:t>. Voor 2011 was berekend dat het in de Europese Unie gaat om ca. 102.500 doden</w:t>
      </w:r>
      <w:r w:rsidR="0074278C" w:rsidRPr="007B6688">
        <w:rPr>
          <w:rStyle w:val="FootnoteReference"/>
          <w:rFonts w:ascii="Verdana" w:hAnsi="Verdana" w:cs="Verdana"/>
          <w:sz w:val="18"/>
          <w:szCs w:val="18"/>
          <w:lang w:eastAsia="nl-NL"/>
        </w:rPr>
        <w:footnoteReference w:id="4"/>
      </w:r>
      <w:r w:rsidR="0074278C" w:rsidRPr="007B6688">
        <w:rPr>
          <w:rFonts w:ascii="Verdana" w:hAnsi="Verdana" w:cs="Verdana"/>
          <w:sz w:val="18"/>
          <w:szCs w:val="18"/>
          <w:lang w:eastAsia="nl-NL"/>
        </w:rPr>
        <w:t>.</w:t>
      </w:r>
      <w:r w:rsidR="0072784C">
        <w:rPr>
          <w:rFonts w:ascii="Verdana" w:hAnsi="Verdana" w:cs="Verdana"/>
          <w:sz w:val="18"/>
          <w:szCs w:val="18"/>
          <w:lang w:eastAsia="nl-NL"/>
        </w:rPr>
        <w:t xml:space="preserve"> </w:t>
      </w:r>
      <w:r w:rsidRPr="00462513">
        <w:rPr>
          <w:rFonts w:ascii="Verdana" w:hAnsi="Verdana" w:cs="Verdana"/>
          <w:sz w:val="18"/>
          <w:szCs w:val="18"/>
          <w:lang w:eastAsia="nl-NL"/>
        </w:rPr>
        <w:t>In de tweede plaats streeft de Commissie</w:t>
      </w:r>
      <w:r w:rsidR="00236E7B">
        <w:rPr>
          <w:rFonts w:ascii="Verdana" w:hAnsi="Verdana" w:cs="Verdana"/>
          <w:sz w:val="18"/>
          <w:szCs w:val="18"/>
          <w:lang w:eastAsia="nl-NL"/>
        </w:rPr>
        <w:t xml:space="preserve"> </w:t>
      </w:r>
      <w:r w:rsidRPr="00462513">
        <w:rPr>
          <w:rFonts w:ascii="Verdana" w:hAnsi="Verdana" w:cs="Verdana"/>
          <w:sz w:val="18"/>
          <w:szCs w:val="18"/>
          <w:lang w:eastAsia="nl-NL"/>
        </w:rPr>
        <w:t xml:space="preserve">met het voorstel </w:t>
      </w:r>
      <w:r w:rsidR="00D46A25">
        <w:rPr>
          <w:rFonts w:ascii="Verdana" w:hAnsi="Verdana" w:cs="Verdana"/>
          <w:sz w:val="18"/>
          <w:szCs w:val="18"/>
          <w:lang w:eastAsia="nl-NL"/>
        </w:rPr>
        <w:t xml:space="preserve">naar een gelijk </w:t>
      </w:r>
      <w:r w:rsidRPr="00462513">
        <w:rPr>
          <w:rFonts w:ascii="Verdana" w:hAnsi="Verdana" w:cs="Verdana"/>
          <w:sz w:val="18"/>
          <w:szCs w:val="18"/>
          <w:lang w:eastAsia="nl-NL"/>
        </w:rPr>
        <w:t>Europese speelveld voor het bedrijfsleven door op</w:t>
      </w:r>
    </w:p>
    <w:p w14:paraId="48866F35" w14:textId="68CC5598" w:rsidR="00CA7480" w:rsidRDefault="00CA7480" w:rsidP="00C4792B">
      <w:pPr>
        <w:autoSpaceDE w:val="0"/>
        <w:autoSpaceDN w:val="0"/>
        <w:adjustRightInd w:val="0"/>
        <w:spacing w:line="360" w:lineRule="auto"/>
        <w:rPr>
          <w:rFonts w:ascii="Verdana" w:hAnsi="Verdana" w:cs="Verdana"/>
          <w:sz w:val="18"/>
          <w:szCs w:val="18"/>
          <w:lang w:eastAsia="nl-NL"/>
        </w:rPr>
      </w:pPr>
      <w:r w:rsidRPr="00462513">
        <w:rPr>
          <w:rFonts w:ascii="Verdana" w:hAnsi="Verdana" w:cs="Verdana"/>
          <w:sz w:val="18"/>
          <w:szCs w:val="18"/>
          <w:lang w:eastAsia="nl-NL"/>
        </w:rPr>
        <w:t>Europees niveau uniforme grenswaarden vast te stellen en hierover dus meer duidelijkheid te</w:t>
      </w:r>
      <w:r w:rsidR="00236E7B">
        <w:rPr>
          <w:rFonts w:ascii="Verdana" w:hAnsi="Verdana" w:cs="Verdana"/>
          <w:sz w:val="18"/>
          <w:szCs w:val="18"/>
          <w:lang w:eastAsia="nl-NL"/>
        </w:rPr>
        <w:t xml:space="preserve"> </w:t>
      </w:r>
      <w:r w:rsidRPr="00462513">
        <w:rPr>
          <w:rFonts w:ascii="Verdana" w:hAnsi="Verdana" w:cs="Verdana"/>
          <w:sz w:val="18"/>
          <w:szCs w:val="18"/>
          <w:lang w:eastAsia="nl-NL"/>
        </w:rPr>
        <w:t>verschaffen aan werkgevers en werknemers.</w:t>
      </w:r>
    </w:p>
    <w:p w14:paraId="77C72804" w14:textId="77777777" w:rsidR="007B6688" w:rsidRDefault="007B6688" w:rsidP="00C4792B">
      <w:pPr>
        <w:autoSpaceDE w:val="0"/>
        <w:autoSpaceDN w:val="0"/>
        <w:adjustRightInd w:val="0"/>
        <w:spacing w:line="360" w:lineRule="auto"/>
        <w:rPr>
          <w:rFonts w:ascii="Verdana" w:hAnsi="Verdana" w:cs="Verdana"/>
          <w:color w:val="FF0000"/>
          <w:sz w:val="18"/>
          <w:szCs w:val="18"/>
          <w:lang w:eastAsia="nl-NL"/>
        </w:rPr>
      </w:pPr>
    </w:p>
    <w:p w14:paraId="28913302" w14:textId="7930877E" w:rsidR="00346A84" w:rsidRPr="008F31C1" w:rsidRDefault="00CA7480" w:rsidP="008F31C1">
      <w:pPr>
        <w:autoSpaceDE w:val="0"/>
        <w:autoSpaceDN w:val="0"/>
        <w:adjustRightInd w:val="0"/>
        <w:spacing w:line="360" w:lineRule="auto"/>
        <w:rPr>
          <w:rFonts w:ascii="Verdana" w:hAnsi="Verdana" w:cs="Verdana"/>
          <w:sz w:val="18"/>
          <w:szCs w:val="18"/>
          <w:lang w:eastAsia="nl-NL"/>
        </w:rPr>
      </w:pPr>
      <w:r w:rsidRPr="007B6688">
        <w:rPr>
          <w:rFonts w:ascii="Verdana" w:hAnsi="Verdana" w:cs="Verdana"/>
          <w:sz w:val="18"/>
          <w:szCs w:val="18"/>
          <w:lang w:eastAsia="nl-NL"/>
        </w:rPr>
        <w:t xml:space="preserve">Het </w:t>
      </w:r>
      <w:r w:rsidR="00F63B8D">
        <w:rPr>
          <w:rFonts w:ascii="Verdana" w:hAnsi="Verdana" w:cs="Verdana"/>
          <w:sz w:val="18"/>
          <w:szCs w:val="18"/>
          <w:lang w:eastAsia="nl-NL"/>
        </w:rPr>
        <w:t>voorliggende</w:t>
      </w:r>
      <w:r w:rsidR="00F63B8D" w:rsidRPr="007B6688">
        <w:rPr>
          <w:rFonts w:ascii="Verdana" w:hAnsi="Verdana" w:cs="Verdana"/>
          <w:sz w:val="18"/>
          <w:szCs w:val="18"/>
          <w:lang w:eastAsia="nl-NL"/>
        </w:rPr>
        <w:t xml:space="preserve"> </w:t>
      </w:r>
      <w:r w:rsidRPr="007B6688">
        <w:rPr>
          <w:rFonts w:ascii="Verdana" w:hAnsi="Verdana" w:cs="Verdana"/>
          <w:sz w:val="18"/>
          <w:szCs w:val="18"/>
          <w:lang w:eastAsia="nl-NL"/>
        </w:rPr>
        <w:t>vo</w:t>
      </w:r>
      <w:r w:rsidR="007B6688" w:rsidRPr="007B6688">
        <w:rPr>
          <w:rFonts w:ascii="Verdana" w:hAnsi="Verdana" w:cs="Verdana"/>
          <w:sz w:val="18"/>
          <w:szCs w:val="18"/>
          <w:lang w:eastAsia="nl-NL"/>
        </w:rPr>
        <w:t>orstel omvat toevoeging van drie</w:t>
      </w:r>
      <w:r w:rsidRPr="007B6688">
        <w:rPr>
          <w:rFonts w:ascii="Verdana" w:hAnsi="Verdana" w:cs="Verdana"/>
          <w:sz w:val="18"/>
          <w:szCs w:val="18"/>
          <w:lang w:eastAsia="nl-NL"/>
        </w:rPr>
        <w:t xml:space="preserve"> stoffen </w:t>
      </w:r>
      <w:r w:rsidR="007B6688" w:rsidRPr="007B6688">
        <w:rPr>
          <w:rFonts w:ascii="Verdana" w:hAnsi="Verdana" w:cs="Verdana"/>
          <w:sz w:val="18"/>
          <w:szCs w:val="18"/>
          <w:lang w:eastAsia="nl-NL"/>
        </w:rPr>
        <w:t xml:space="preserve">of stofgroepen </w:t>
      </w:r>
      <w:r w:rsidR="008F31C1">
        <w:rPr>
          <w:rFonts w:ascii="Verdana" w:hAnsi="Verdana" w:cs="Verdana"/>
          <w:sz w:val="18"/>
          <w:szCs w:val="18"/>
          <w:lang w:eastAsia="nl-NL"/>
        </w:rPr>
        <w:t>met grenswaarden. Het gaat hierbij om t</w:t>
      </w:r>
      <w:r w:rsidR="007B6688" w:rsidRPr="00346A84">
        <w:rPr>
          <w:rFonts w:ascii="Verdana" w:hAnsi="Verdana" w:cs="Verdana"/>
          <w:sz w:val="18"/>
          <w:szCs w:val="18"/>
          <w:lang w:eastAsia="nl-NL"/>
        </w:rPr>
        <w:t>wee</w:t>
      </w:r>
      <w:r w:rsidRPr="00346A84">
        <w:rPr>
          <w:rFonts w:ascii="Verdana" w:hAnsi="Verdana" w:cs="Verdana"/>
          <w:sz w:val="18"/>
          <w:szCs w:val="18"/>
          <w:lang w:eastAsia="nl-NL"/>
        </w:rPr>
        <w:t xml:space="preserve"> nieuwe stoffen en stofgroepen waarvoor grenswaarden worden opgenomen: </w:t>
      </w:r>
      <w:r w:rsidR="007B6688" w:rsidRPr="00346A84">
        <w:rPr>
          <w:rFonts w:ascii="Verdana" w:hAnsi="Verdana" w:cs="Verdana"/>
          <w:sz w:val="18"/>
          <w:szCs w:val="18"/>
          <w:lang w:eastAsia="nl-NL"/>
        </w:rPr>
        <w:t>de stof acrylonitril</w:t>
      </w:r>
      <w:r w:rsidR="003A44BE">
        <w:rPr>
          <w:rFonts w:ascii="Verdana" w:hAnsi="Verdana" w:cs="Verdana"/>
          <w:sz w:val="18"/>
          <w:szCs w:val="18"/>
          <w:lang w:eastAsia="nl-NL"/>
        </w:rPr>
        <w:t xml:space="preserve"> (waarvoor zowel een grenswaarde als “8 uur tijdgewogen gemiddelde” als een grenswaarde voor kortdurende blootstelling wordt gesteld)</w:t>
      </w:r>
      <w:r w:rsidR="007B6688" w:rsidRPr="00346A84">
        <w:rPr>
          <w:rFonts w:ascii="Verdana" w:hAnsi="Verdana" w:cs="Verdana"/>
          <w:sz w:val="18"/>
          <w:szCs w:val="18"/>
          <w:lang w:eastAsia="nl-NL"/>
        </w:rPr>
        <w:t>, en de stofgroep nikkelverbindingen</w:t>
      </w:r>
      <w:r w:rsidR="003A44BE">
        <w:rPr>
          <w:rFonts w:ascii="Verdana" w:hAnsi="Verdana" w:cs="Verdana"/>
          <w:sz w:val="18"/>
          <w:szCs w:val="18"/>
          <w:lang w:eastAsia="nl-NL"/>
        </w:rPr>
        <w:t xml:space="preserve"> (waarvoor zowel een grenswaarde voor de inhaleerbare</w:t>
      </w:r>
      <w:r w:rsidR="003A44BE">
        <w:rPr>
          <w:rStyle w:val="FootnoteReference"/>
          <w:rFonts w:ascii="Verdana" w:hAnsi="Verdana" w:cs="Verdana"/>
          <w:sz w:val="18"/>
          <w:szCs w:val="18"/>
          <w:lang w:eastAsia="nl-NL"/>
        </w:rPr>
        <w:footnoteReference w:id="5"/>
      </w:r>
      <w:r w:rsidR="003A44BE">
        <w:rPr>
          <w:rFonts w:ascii="Verdana" w:hAnsi="Verdana" w:cs="Verdana"/>
          <w:sz w:val="18"/>
          <w:szCs w:val="18"/>
          <w:lang w:eastAsia="nl-NL"/>
        </w:rPr>
        <w:t>, als een grenswaarde voor de respirabele</w:t>
      </w:r>
      <w:r w:rsidR="003A44BE">
        <w:rPr>
          <w:rStyle w:val="FootnoteReference"/>
          <w:rFonts w:ascii="Verdana" w:hAnsi="Verdana" w:cs="Verdana"/>
          <w:sz w:val="18"/>
          <w:szCs w:val="18"/>
          <w:lang w:eastAsia="nl-NL"/>
        </w:rPr>
        <w:footnoteReference w:id="6"/>
      </w:r>
      <w:r w:rsidR="003A44BE">
        <w:rPr>
          <w:rFonts w:ascii="Verdana" w:hAnsi="Verdana" w:cs="Verdana"/>
          <w:sz w:val="18"/>
          <w:szCs w:val="18"/>
          <w:lang w:eastAsia="nl-NL"/>
        </w:rPr>
        <w:t xml:space="preserve"> fractie wordt gesteld)</w:t>
      </w:r>
      <w:r w:rsidR="007B6688" w:rsidRPr="00346A84">
        <w:rPr>
          <w:rFonts w:ascii="Verdana" w:hAnsi="Verdana" w:cs="Verdana"/>
          <w:sz w:val="18"/>
          <w:szCs w:val="18"/>
          <w:lang w:eastAsia="nl-NL"/>
        </w:rPr>
        <w:t>.</w:t>
      </w:r>
      <w:r w:rsidR="008F31C1">
        <w:rPr>
          <w:rFonts w:ascii="Verdana" w:hAnsi="Verdana" w:cs="Verdana"/>
          <w:sz w:val="18"/>
          <w:szCs w:val="18"/>
          <w:lang w:eastAsia="nl-NL"/>
        </w:rPr>
        <w:t xml:space="preserve"> Tevens is er een</w:t>
      </w:r>
      <w:r w:rsidR="007B6688" w:rsidRPr="008F31C1">
        <w:rPr>
          <w:rFonts w:ascii="Verdana" w:hAnsi="Verdana" w:cs="Verdana"/>
          <w:sz w:val="18"/>
          <w:szCs w:val="18"/>
          <w:lang w:eastAsia="nl-NL"/>
        </w:rPr>
        <w:t xml:space="preserve"> aanscherping van de reeds bestaande grenswaarde voor de stof benzeen.</w:t>
      </w:r>
      <w:r w:rsidR="008F31C1">
        <w:rPr>
          <w:rFonts w:ascii="Verdana" w:hAnsi="Verdana" w:cs="Verdana"/>
          <w:sz w:val="18"/>
          <w:szCs w:val="18"/>
          <w:lang w:eastAsia="nl-NL"/>
        </w:rPr>
        <w:t xml:space="preserve"> </w:t>
      </w:r>
      <w:r w:rsidRPr="008F31C1">
        <w:rPr>
          <w:rFonts w:ascii="Verdana" w:hAnsi="Verdana" w:cs="Verdana"/>
          <w:sz w:val="18"/>
          <w:szCs w:val="18"/>
          <w:lang w:eastAsia="nl-NL"/>
        </w:rPr>
        <w:t>Daarnaast wordt een huidnotatie</w:t>
      </w:r>
      <w:r w:rsidR="00842702">
        <w:rPr>
          <w:rStyle w:val="FootnoteReference"/>
          <w:rFonts w:ascii="Verdana" w:hAnsi="Verdana" w:cs="Verdana"/>
          <w:sz w:val="18"/>
          <w:szCs w:val="18"/>
          <w:lang w:eastAsia="nl-NL"/>
        </w:rPr>
        <w:footnoteReference w:id="7"/>
      </w:r>
      <w:r w:rsidRPr="008F31C1">
        <w:rPr>
          <w:rFonts w:ascii="Verdana" w:hAnsi="Verdana" w:cs="Verdana"/>
          <w:sz w:val="18"/>
          <w:szCs w:val="18"/>
          <w:lang w:eastAsia="nl-NL"/>
        </w:rPr>
        <w:t xml:space="preserve"> vastgesteld voor </w:t>
      </w:r>
      <w:r w:rsidR="007B6688" w:rsidRPr="008F31C1">
        <w:rPr>
          <w:rFonts w:ascii="Verdana" w:hAnsi="Verdana" w:cs="Verdana"/>
          <w:sz w:val="18"/>
          <w:szCs w:val="18"/>
          <w:lang w:eastAsia="nl-NL"/>
        </w:rPr>
        <w:t>acrylonitril</w:t>
      </w:r>
      <w:r w:rsidRPr="008F31C1">
        <w:rPr>
          <w:rFonts w:ascii="Verdana" w:hAnsi="Verdana" w:cs="Verdana"/>
          <w:sz w:val="18"/>
          <w:szCs w:val="18"/>
          <w:lang w:eastAsia="nl-NL"/>
        </w:rPr>
        <w:t>, en een notatie</w:t>
      </w:r>
      <w:r w:rsidR="00346A84" w:rsidRPr="008F31C1">
        <w:rPr>
          <w:rFonts w:ascii="Verdana" w:hAnsi="Verdana" w:cs="Verdana"/>
          <w:sz w:val="18"/>
          <w:szCs w:val="18"/>
          <w:lang w:eastAsia="nl-NL"/>
        </w:rPr>
        <w:t xml:space="preserve"> </w:t>
      </w:r>
      <w:r w:rsidR="007B6688" w:rsidRPr="008F31C1">
        <w:rPr>
          <w:rFonts w:ascii="Verdana" w:hAnsi="Verdana" w:cs="Verdana"/>
          <w:sz w:val="18"/>
          <w:szCs w:val="18"/>
          <w:lang w:eastAsia="nl-NL"/>
        </w:rPr>
        <w:t>v</w:t>
      </w:r>
      <w:r w:rsidRPr="008F31C1">
        <w:rPr>
          <w:rFonts w:ascii="Verdana" w:hAnsi="Verdana" w:cs="Verdana"/>
          <w:sz w:val="18"/>
          <w:szCs w:val="18"/>
          <w:lang w:eastAsia="nl-NL"/>
        </w:rPr>
        <w:t>oor</w:t>
      </w:r>
      <w:r w:rsidR="007B6688" w:rsidRPr="008F31C1">
        <w:rPr>
          <w:rFonts w:ascii="Verdana" w:hAnsi="Verdana" w:cs="Verdana"/>
          <w:sz w:val="18"/>
          <w:szCs w:val="18"/>
          <w:lang w:eastAsia="nl-NL"/>
        </w:rPr>
        <w:t xml:space="preserve"> (huid en luchtweg-) </w:t>
      </w:r>
      <w:r w:rsidRPr="008F31C1">
        <w:rPr>
          <w:rFonts w:ascii="Verdana" w:hAnsi="Verdana" w:cs="Verdana"/>
          <w:sz w:val="18"/>
          <w:szCs w:val="18"/>
          <w:lang w:eastAsia="nl-NL"/>
        </w:rPr>
        <w:t>sensibilisatie</w:t>
      </w:r>
      <w:r w:rsidR="00842702">
        <w:rPr>
          <w:rStyle w:val="FootnoteReference"/>
          <w:rFonts w:ascii="Verdana" w:hAnsi="Verdana" w:cs="Verdana"/>
          <w:sz w:val="18"/>
          <w:szCs w:val="18"/>
          <w:lang w:eastAsia="nl-NL"/>
        </w:rPr>
        <w:footnoteReference w:id="8"/>
      </w:r>
      <w:r w:rsidRPr="008F31C1">
        <w:rPr>
          <w:rFonts w:ascii="Verdana" w:hAnsi="Verdana" w:cs="Verdana"/>
          <w:sz w:val="18"/>
          <w:szCs w:val="18"/>
          <w:lang w:eastAsia="nl-NL"/>
        </w:rPr>
        <w:t xml:space="preserve"> voor </w:t>
      </w:r>
      <w:r w:rsidR="007B6688" w:rsidRPr="008F31C1">
        <w:rPr>
          <w:rFonts w:ascii="Verdana" w:hAnsi="Verdana" w:cs="Verdana"/>
          <w:sz w:val="18"/>
          <w:szCs w:val="18"/>
          <w:lang w:eastAsia="nl-NL"/>
        </w:rPr>
        <w:t>nikkelverbindingen</w:t>
      </w:r>
      <w:r w:rsidRPr="008F31C1">
        <w:rPr>
          <w:rFonts w:ascii="Verdana" w:hAnsi="Verdana" w:cs="Verdana"/>
          <w:sz w:val="18"/>
          <w:szCs w:val="18"/>
          <w:lang w:eastAsia="nl-NL"/>
        </w:rPr>
        <w:t>.</w:t>
      </w:r>
    </w:p>
    <w:p w14:paraId="26EEE8EA" w14:textId="77777777" w:rsidR="008F31C1" w:rsidRDefault="008F31C1" w:rsidP="008F31C1">
      <w:pPr>
        <w:autoSpaceDE w:val="0"/>
        <w:autoSpaceDN w:val="0"/>
        <w:adjustRightInd w:val="0"/>
        <w:spacing w:line="360" w:lineRule="auto"/>
        <w:rPr>
          <w:rFonts w:ascii="Verdana" w:hAnsi="Verdana" w:cs="Verdana"/>
          <w:sz w:val="18"/>
          <w:szCs w:val="18"/>
          <w:lang w:eastAsia="nl-NL"/>
        </w:rPr>
      </w:pPr>
    </w:p>
    <w:p w14:paraId="655EA459" w14:textId="48029A86" w:rsidR="00842702" w:rsidRPr="008F31C1" w:rsidRDefault="00842702" w:rsidP="008F31C1">
      <w:pPr>
        <w:autoSpaceDE w:val="0"/>
        <w:autoSpaceDN w:val="0"/>
        <w:adjustRightInd w:val="0"/>
        <w:spacing w:line="360" w:lineRule="auto"/>
        <w:rPr>
          <w:rFonts w:ascii="Verdana" w:hAnsi="Verdana" w:cs="Verdana"/>
          <w:sz w:val="18"/>
          <w:szCs w:val="18"/>
          <w:lang w:eastAsia="nl-NL"/>
        </w:rPr>
      </w:pPr>
      <w:r w:rsidRPr="008F31C1">
        <w:rPr>
          <w:rFonts w:ascii="Verdana" w:hAnsi="Verdana" w:cs="Verdana"/>
          <w:sz w:val="18"/>
          <w:szCs w:val="18"/>
          <w:lang w:eastAsia="nl-NL"/>
        </w:rPr>
        <w:t xml:space="preserve">Voor acrylonitril wordt een overgangstermijn voorgesteld van 4 jaar na van kracht worden van de Richtlijn. Voor nikkelverbindingen wordt een grenswaarde voorgesteld die geldt tot 18 januari 2025 en een </w:t>
      </w:r>
      <w:r w:rsidR="005F2DDC" w:rsidRPr="008F31C1">
        <w:rPr>
          <w:rFonts w:ascii="Verdana" w:hAnsi="Verdana" w:cs="Verdana"/>
          <w:sz w:val="18"/>
          <w:szCs w:val="18"/>
          <w:lang w:eastAsia="nl-NL"/>
        </w:rPr>
        <w:t>strengere grenswaarde die vanaf dat moment geldt.</w:t>
      </w:r>
      <w:r w:rsidRPr="008F31C1">
        <w:rPr>
          <w:rFonts w:ascii="Verdana" w:hAnsi="Verdana" w:cs="Verdana"/>
          <w:sz w:val="18"/>
          <w:szCs w:val="18"/>
          <w:lang w:eastAsia="nl-NL"/>
        </w:rPr>
        <w:t xml:space="preserve"> Voor benzeen wordt ook </w:t>
      </w:r>
      <w:r w:rsidR="005F2DDC" w:rsidRPr="008F31C1">
        <w:rPr>
          <w:rFonts w:ascii="Verdana" w:hAnsi="Verdana" w:cs="Verdana"/>
          <w:sz w:val="18"/>
          <w:szCs w:val="18"/>
          <w:lang w:eastAsia="nl-NL"/>
        </w:rPr>
        <w:t>een grenswaarde voorgesteld die geldt tot 4 jaar na van kracht worden van de Richtlijn, waarna de grenswaarde verder wordt aangescherpt.</w:t>
      </w:r>
      <w:r w:rsidRPr="008F31C1">
        <w:rPr>
          <w:rFonts w:ascii="Verdana" w:hAnsi="Verdana" w:cs="Verdana"/>
          <w:sz w:val="18"/>
          <w:szCs w:val="18"/>
          <w:lang w:eastAsia="nl-NL"/>
        </w:rPr>
        <w:t xml:space="preserve"> </w:t>
      </w:r>
    </w:p>
    <w:p w14:paraId="7AD3D540" w14:textId="77777777" w:rsidR="005F2DDC" w:rsidRDefault="005F2DDC" w:rsidP="00C4792B">
      <w:pPr>
        <w:autoSpaceDE w:val="0"/>
        <w:autoSpaceDN w:val="0"/>
        <w:adjustRightInd w:val="0"/>
        <w:spacing w:line="360" w:lineRule="auto"/>
        <w:rPr>
          <w:rFonts w:ascii="Verdana" w:hAnsi="Verdana" w:cs="TimesNewRoman"/>
          <w:color w:val="FF0000"/>
          <w:sz w:val="18"/>
          <w:szCs w:val="18"/>
          <w:lang w:eastAsia="nl-NL"/>
        </w:rPr>
      </w:pPr>
    </w:p>
    <w:p w14:paraId="607DC27F" w14:textId="74ECA63E" w:rsidR="00CA7480" w:rsidRPr="00276B6A" w:rsidRDefault="00CA7480" w:rsidP="00276B6A">
      <w:pPr>
        <w:autoSpaceDE w:val="0"/>
        <w:autoSpaceDN w:val="0"/>
        <w:adjustRightInd w:val="0"/>
        <w:spacing w:line="360" w:lineRule="auto"/>
        <w:rPr>
          <w:rFonts w:ascii="Verdana" w:hAnsi="Verdana" w:cs="Verdana"/>
          <w:sz w:val="18"/>
          <w:szCs w:val="18"/>
          <w:lang w:eastAsia="nl-NL"/>
        </w:rPr>
      </w:pPr>
      <w:r w:rsidRPr="00822157">
        <w:rPr>
          <w:rFonts w:ascii="Verdana" w:hAnsi="Verdana" w:cs="Verdana"/>
          <w:sz w:val="18"/>
          <w:szCs w:val="18"/>
          <w:lang w:eastAsia="nl-NL"/>
        </w:rPr>
        <w:t>De grenswaarden voor deze stoffen zijn gebaseerd op opinies van het tripartiete (sociale</w:t>
      </w:r>
      <w:r w:rsidR="008F31C1">
        <w:rPr>
          <w:rFonts w:ascii="Verdana" w:hAnsi="Verdana" w:cs="Verdana"/>
          <w:sz w:val="18"/>
          <w:szCs w:val="18"/>
          <w:lang w:eastAsia="nl-NL"/>
        </w:rPr>
        <w:t xml:space="preserve"> </w:t>
      </w:r>
      <w:r w:rsidRPr="00822157">
        <w:rPr>
          <w:rFonts w:ascii="Verdana" w:hAnsi="Verdana" w:cs="Verdana"/>
          <w:sz w:val="18"/>
          <w:szCs w:val="18"/>
          <w:lang w:eastAsia="nl-NL"/>
        </w:rPr>
        <w:t>partners en overheden) Europese Raadgevend Comité voor veiligheid en gezondheid op de</w:t>
      </w:r>
      <w:r w:rsidR="008F31C1">
        <w:rPr>
          <w:rFonts w:ascii="Verdana" w:hAnsi="Verdana" w:cs="Verdana"/>
          <w:sz w:val="18"/>
          <w:szCs w:val="18"/>
          <w:lang w:eastAsia="nl-NL"/>
        </w:rPr>
        <w:t xml:space="preserve"> </w:t>
      </w:r>
      <w:r w:rsidRPr="00822157">
        <w:rPr>
          <w:rFonts w:ascii="Verdana" w:hAnsi="Verdana" w:cs="Verdana"/>
          <w:sz w:val="18"/>
          <w:szCs w:val="18"/>
          <w:lang w:eastAsia="nl-NL"/>
        </w:rPr>
        <w:t>werkplek.</w:t>
      </w:r>
      <w:r w:rsidR="0072784C">
        <w:rPr>
          <w:rFonts w:ascii="Verdana" w:hAnsi="Verdana" w:cs="Verdana"/>
          <w:sz w:val="18"/>
          <w:szCs w:val="18"/>
          <w:lang w:eastAsia="nl-NL"/>
        </w:rPr>
        <w:t xml:space="preserve"> </w:t>
      </w:r>
      <w:r w:rsidRPr="00276B6A">
        <w:rPr>
          <w:rFonts w:ascii="Verdana" w:hAnsi="Verdana" w:cs="Verdana"/>
          <w:sz w:val="18"/>
          <w:szCs w:val="18"/>
          <w:lang w:eastAsia="nl-NL"/>
        </w:rPr>
        <w:t>Voor de stoffen en stofgroepen in dit voorstel zijn er wetenschappelijk</w:t>
      </w:r>
      <w:r w:rsidR="004D6B03">
        <w:rPr>
          <w:rFonts w:ascii="Verdana" w:hAnsi="Verdana" w:cs="Verdana"/>
          <w:sz w:val="18"/>
          <w:szCs w:val="18"/>
          <w:lang w:eastAsia="nl-NL"/>
        </w:rPr>
        <w:t>e</w:t>
      </w:r>
      <w:r w:rsidRPr="00276B6A">
        <w:rPr>
          <w:rFonts w:ascii="Verdana" w:hAnsi="Verdana" w:cs="Verdana"/>
          <w:sz w:val="18"/>
          <w:szCs w:val="18"/>
          <w:lang w:eastAsia="nl-NL"/>
        </w:rPr>
        <w:t xml:space="preserve"> adviezen uit</w:t>
      </w:r>
      <w:r w:rsidR="0072784C">
        <w:rPr>
          <w:rFonts w:ascii="Verdana" w:hAnsi="Verdana" w:cs="Verdana"/>
          <w:sz w:val="18"/>
          <w:szCs w:val="18"/>
          <w:lang w:eastAsia="nl-NL"/>
        </w:rPr>
        <w:t xml:space="preserve"> </w:t>
      </w:r>
      <w:r w:rsidR="00276B6A" w:rsidRPr="00276B6A">
        <w:rPr>
          <w:rFonts w:ascii="Verdana" w:hAnsi="Verdana" w:cs="Verdana"/>
          <w:sz w:val="18"/>
          <w:szCs w:val="18"/>
          <w:lang w:eastAsia="nl-NL"/>
        </w:rPr>
        <w:t>2018</w:t>
      </w:r>
      <w:r w:rsidRPr="00276B6A">
        <w:rPr>
          <w:rFonts w:ascii="Verdana" w:hAnsi="Verdana" w:cs="Verdana"/>
          <w:sz w:val="18"/>
          <w:szCs w:val="18"/>
          <w:lang w:eastAsia="nl-NL"/>
        </w:rPr>
        <w:t xml:space="preserve"> van </w:t>
      </w:r>
      <w:r w:rsidR="00276B6A" w:rsidRPr="00276B6A">
        <w:rPr>
          <w:rFonts w:ascii="Verdana" w:hAnsi="Verdana" w:cs="Verdana"/>
          <w:sz w:val="18"/>
          <w:szCs w:val="18"/>
          <w:lang w:eastAsia="nl-NL"/>
        </w:rPr>
        <w:t>RAC</w:t>
      </w:r>
      <w:r w:rsidRPr="00276B6A">
        <w:rPr>
          <w:rFonts w:ascii="Verdana" w:hAnsi="Verdana" w:cs="Verdana"/>
          <w:sz w:val="18"/>
          <w:szCs w:val="18"/>
          <w:lang w:eastAsia="nl-NL"/>
        </w:rPr>
        <w:t xml:space="preserve"> (</w:t>
      </w:r>
      <w:r w:rsidR="00276B6A" w:rsidRPr="004D6B03">
        <w:rPr>
          <w:rFonts w:ascii="Verdana" w:hAnsi="Verdana" w:cs="Verdana"/>
          <w:i/>
          <w:sz w:val="18"/>
          <w:szCs w:val="18"/>
          <w:lang w:eastAsia="nl-NL"/>
        </w:rPr>
        <w:t>Risk Assessment Committee</w:t>
      </w:r>
      <w:r w:rsidR="00276B6A" w:rsidRPr="00276B6A">
        <w:rPr>
          <w:rFonts w:ascii="Verdana" w:hAnsi="Verdana" w:cs="Verdana"/>
          <w:sz w:val="18"/>
          <w:szCs w:val="18"/>
          <w:lang w:eastAsia="nl-NL"/>
        </w:rPr>
        <w:t xml:space="preserve">), het Comité voor risicobeoordeling van het </w:t>
      </w:r>
      <w:r w:rsidRPr="00276B6A">
        <w:rPr>
          <w:rFonts w:ascii="Verdana" w:hAnsi="Verdana" w:cs="Verdana"/>
          <w:sz w:val="18"/>
          <w:szCs w:val="18"/>
          <w:lang w:eastAsia="nl-NL"/>
        </w:rPr>
        <w:t xml:space="preserve">Europees </w:t>
      </w:r>
      <w:r w:rsidR="00276B6A" w:rsidRPr="00276B6A">
        <w:rPr>
          <w:rFonts w:ascii="Verdana" w:hAnsi="Verdana" w:cs="Verdana"/>
          <w:sz w:val="18"/>
          <w:szCs w:val="18"/>
          <w:lang w:eastAsia="nl-NL"/>
        </w:rPr>
        <w:t xml:space="preserve">Agentschap voor Stoffen (ECHA) </w:t>
      </w:r>
      <w:r w:rsidRPr="00276B6A">
        <w:rPr>
          <w:rFonts w:ascii="Verdana" w:hAnsi="Verdana" w:cs="Verdana"/>
          <w:sz w:val="18"/>
          <w:szCs w:val="18"/>
          <w:lang w:eastAsia="nl-NL"/>
        </w:rPr>
        <w:t xml:space="preserve">om de grenswaarde te onderbouwen. </w:t>
      </w:r>
    </w:p>
    <w:p w14:paraId="539B614B" w14:textId="77777777" w:rsidR="00276B6A" w:rsidRPr="00C4792B" w:rsidRDefault="00276B6A" w:rsidP="00276B6A">
      <w:pPr>
        <w:autoSpaceDE w:val="0"/>
        <w:autoSpaceDN w:val="0"/>
        <w:adjustRightInd w:val="0"/>
        <w:spacing w:line="360" w:lineRule="auto"/>
        <w:rPr>
          <w:rFonts w:ascii="Verdana" w:hAnsi="Verdana" w:cs="Verdana"/>
          <w:color w:val="FF0000"/>
          <w:sz w:val="18"/>
          <w:szCs w:val="18"/>
          <w:lang w:eastAsia="nl-NL"/>
        </w:rPr>
      </w:pPr>
    </w:p>
    <w:p w14:paraId="2707B700" w14:textId="61E99676" w:rsidR="002F4952" w:rsidRPr="003144FD" w:rsidRDefault="00CA7480" w:rsidP="00276B6A">
      <w:pPr>
        <w:autoSpaceDE w:val="0"/>
        <w:autoSpaceDN w:val="0"/>
        <w:adjustRightInd w:val="0"/>
        <w:spacing w:line="360" w:lineRule="auto"/>
        <w:rPr>
          <w:rFonts w:ascii="Verdana" w:hAnsi="Verdana" w:cs="Verdana"/>
          <w:sz w:val="18"/>
          <w:szCs w:val="18"/>
          <w:lang w:eastAsia="nl-NL"/>
        </w:rPr>
      </w:pPr>
      <w:r w:rsidRPr="00276B6A">
        <w:rPr>
          <w:rFonts w:ascii="Verdana" w:hAnsi="Verdana" w:cs="Verdana"/>
          <w:sz w:val="18"/>
          <w:szCs w:val="18"/>
          <w:lang w:eastAsia="nl-NL"/>
        </w:rPr>
        <w:t xml:space="preserve">De grenswaarden zijn zogenaamde </w:t>
      </w:r>
      <w:r w:rsidRPr="004D6B03">
        <w:rPr>
          <w:rFonts w:ascii="Verdana" w:hAnsi="Verdana" w:cs="Verdana"/>
          <w:i/>
          <w:sz w:val="18"/>
          <w:szCs w:val="18"/>
          <w:lang w:eastAsia="nl-NL"/>
        </w:rPr>
        <w:t>Binding Occup</w:t>
      </w:r>
      <w:r w:rsidR="00B73039" w:rsidRPr="004D6B03">
        <w:rPr>
          <w:rFonts w:ascii="Verdana" w:hAnsi="Verdana" w:cs="Verdana"/>
          <w:i/>
          <w:sz w:val="18"/>
          <w:szCs w:val="18"/>
          <w:lang w:eastAsia="nl-NL"/>
        </w:rPr>
        <w:t>a</w:t>
      </w:r>
      <w:r w:rsidRPr="004D6B03">
        <w:rPr>
          <w:rFonts w:ascii="Verdana" w:hAnsi="Verdana" w:cs="Verdana"/>
          <w:i/>
          <w:sz w:val="18"/>
          <w:szCs w:val="18"/>
          <w:lang w:eastAsia="nl-NL"/>
        </w:rPr>
        <w:t>tional Exposure Limits</w:t>
      </w:r>
      <w:r w:rsidRPr="00276B6A">
        <w:rPr>
          <w:rFonts w:ascii="Verdana" w:hAnsi="Verdana" w:cs="Verdana"/>
          <w:sz w:val="18"/>
          <w:szCs w:val="18"/>
          <w:lang w:eastAsia="nl-NL"/>
        </w:rPr>
        <w:t xml:space="preserve"> (BOELs). Dat betekent</w:t>
      </w:r>
      <w:r w:rsidR="003144FD">
        <w:rPr>
          <w:rFonts w:ascii="Verdana" w:hAnsi="Verdana" w:cs="Verdana"/>
          <w:sz w:val="18"/>
          <w:szCs w:val="18"/>
          <w:lang w:eastAsia="nl-NL"/>
        </w:rPr>
        <w:t xml:space="preserve"> </w:t>
      </w:r>
      <w:r w:rsidRPr="00276B6A">
        <w:rPr>
          <w:rFonts w:ascii="Verdana" w:hAnsi="Verdana" w:cs="Verdana"/>
          <w:sz w:val="18"/>
          <w:szCs w:val="18"/>
          <w:lang w:eastAsia="nl-NL"/>
        </w:rPr>
        <w:t>dat lidstaten verplicht worden voor deze stoffen een grenswaarde vast te stellen. De</w:t>
      </w:r>
      <w:r w:rsidR="003144FD">
        <w:rPr>
          <w:rFonts w:ascii="Verdana" w:hAnsi="Verdana" w:cs="Verdana"/>
          <w:sz w:val="18"/>
          <w:szCs w:val="18"/>
          <w:lang w:eastAsia="nl-NL"/>
        </w:rPr>
        <w:t xml:space="preserve"> </w:t>
      </w:r>
      <w:r w:rsidRPr="00276B6A">
        <w:rPr>
          <w:rFonts w:ascii="Verdana" w:hAnsi="Verdana" w:cs="Verdana"/>
          <w:sz w:val="18"/>
          <w:szCs w:val="18"/>
          <w:lang w:eastAsia="nl-NL"/>
        </w:rPr>
        <w:t>grenswaarde mag wel strenger, maar niet soepeler zijn dan de waarde van de BOEL.</w:t>
      </w:r>
      <w:r w:rsidR="002A6423">
        <w:rPr>
          <w:rFonts w:ascii="Verdana" w:hAnsi="Verdana" w:cs="Verdana"/>
          <w:sz w:val="18"/>
          <w:szCs w:val="18"/>
          <w:lang w:eastAsia="nl-NL"/>
        </w:rPr>
        <w:t xml:space="preserve"> </w:t>
      </w:r>
    </w:p>
    <w:p w14:paraId="6E0441CE" w14:textId="77777777" w:rsidR="002F4952" w:rsidRDefault="002F4952" w:rsidP="002F4952">
      <w:pPr>
        <w:pStyle w:val="Spreekpunten"/>
        <w:numPr>
          <w:ilvl w:val="0"/>
          <w:numId w:val="0"/>
        </w:numPr>
        <w:ind w:left="717" w:hanging="360"/>
        <w:rPr>
          <w:rFonts w:ascii="Verdana" w:hAnsi="Verdana"/>
          <w:i/>
          <w:iCs/>
          <w:sz w:val="18"/>
          <w:szCs w:val="18"/>
          <w:lang w:val="nl-NL" w:eastAsia="zh-CN"/>
        </w:rPr>
      </w:pPr>
    </w:p>
    <w:p w14:paraId="345D6EA1" w14:textId="77777777" w:rsidR="00CB7FF8" w:rsidRPr="00F74E07" w:rsidRDefault="00CB7FF8" w:rsidP="00346A84">
      <w:pPr>
        <w:pStyle w:val="Spreekpunten"/>
        <w:numPr>
          <w:ilvl w:val="0"/>
          <w:numId w:val="5"/>
        </w:numPr>
        <w:rPr>
          <w:rFonts w:ascii="Verdana" w:hAnsi="Verdana"/>
          <w:i/>
          <w:iCs/>
          <w:sz w:val="18"/>
          <w:szCs w:val="18"/>
          <w:lang w:val="nl-NL" w:eastAsia="zh-CN"/>
        </w:rPr>
      </w:pPr>
      <w:r w:rsidRPr="00F74E07">
        <w:rPr>
          <w:rFonts w:ascii="Verdana" w:hAnsi="Verdana"/>
          <w:i/>
          <w:iCs/>
          <w:sz w:val="18"/>
          <w:szCs w:val="18"/>
          <w:lang w:val="nl-NL" w:eastAsia="zh-CN"/>
        </w:rPr>
        <w:t>Impact assessment Commissie</w:t>
      </w:r>
    </w:p>
    <w:p w14:paraId="7F69D473" w14:textId="77777777" w:rsidR="00CB7FF8" w:rsidRPr="00CA7480" w:rsidRDefault="001F1EAA" w:rsidP="00B145FB">
      <w:pPr>
        <w:spacing w:line="360" w:lineRule="auto"/>
        <w:rPr>
          <w:rFonts w:ascii="Verdana" w:hAnsi="Verdana"/>
          <w:sz w:val="18"/>
          <w:szCs w:val="18"/>
        </w:rPr>
      </w:pPr>
      <w:r w:rsidRPr="00CA7480">
        <w:rPr>
          <w:rFonts w:ascii="Verdana" w:hAnsi="Verdana"/>
          <w:sz w:val="18"/>
          <w:szCs w:val="18"/>
        </w:rPr>
        <w:t>In de effectbeoordeling van het voorstel is voor alle stoffen afzonderlijk nagegaan wat het effect is ten opzichte van de huidige situatie (geen actie door de EU), vaststelling van de door het Raadgevend Comité overeengekomen waarden en soms ook de optie van hogere of lagere grenswaarden. Deze laatste opties zijn meegenomen voor individuele stoffen op basis van bestaande grenswaarden in lidstaten. Ook is gekeken naar de mogelijkheid voor andere opties voor regelgeving. Geconcludeerd werd echter dat deze maatregelen minder passend zijn. Zo wordt een verbod op de stoffen beschouwd als disproportioneel, en is geconcludeerd dat opties als handleidingen en zelfregulering niet substantieel bijdragen aan het voorkomen van blootstelling aan carcinogene of mutagene stoffen voor werknemers. Regelgeving met een vermelding van stoffen en grenswaarden geeft duidelijkheid voor werkgever en werknemer en maakt het beheersen van de risico’s van blootstelling op de werkplek mogelijk. De Commissie is op basis van de effectbeoordeling geko</w:t>
      </w:r>
      <w:r w:rsidR="00CA7480" w:rsidRPr="00CA7480">
        <w:rPr>
          <w:rFonts w:ascii="Verdana" w:hAnsi="Verdana"/>
          <w:sz w:val="18"/>
          <w:szCs w:val="18"/>
        </w:rPr>
        <w:t xml:space="preserve">men tot opname van drie </w:t>
      </w:r>
      <w:r w:rsidRPr="00CA7480">
        <w:rPr>
          <w:rFonts w:ascii="Verdana" w:hAnsi="Verdana"/>
          <w:sz w:val="18"/>
          <w:szCs w:val="18"/>
        </w:rPr>
        <w:t>stoffen en stofgroepen met</w:t>
      </w:r>
      <w:r w:rsidRPr="00CA7480">
        <w:t xml:space="preserve"> </w:t>
      </w:r>
      <w:r w:rsidRPr="00CA7480">
        <w:rPr>
          <w:rFonts w:ascii="Verdana" w:hAnsi="Verdana"/>
          <w:sz w:val="18"/>
          <w:szCs w:val="18"/>
        </w:rPr>
        <w:t>grenswaarden in bijlage III van het voorstel met waar noodzakelijk relevante notaties. De Commissie schat in dat met dit voorstel naar verwachting op de lange termijn meer dan 1 miljoen werknemers in de EU beter beschermd zullen zijn tegen beroepsmatige blootstelling aan de opgenom</w:t>
      </w:r>
      <w:r w:rsidR="00A53E5A">
        <w:rPr>
          <w:rFonts w:ascii="Verdana" w:hAnsi="Verdana"/>
          <w:sz w:val="18"/>
          <w:szCs w:val="18"/>
        </w:rPr>
        <w:t>en stoffen en stofgroepen en bijna</w:t>
      </w:r>
      <w:r w:rsidRPr="00CA7480">
        <w:rPr>
          <w:rFonts w:ascii="Verdana" w:hAnsi="Verdana"/>
          <w:sz w:val="18"/>
          <w:szCs w:val="18"/>
        </w:rPr>
        <w:t xml:space="preserve"> </w:t>
      </w:r>
      <w:r w:rsidR="00CA7480" w:rsidRPr="00CA7480">
        <w:rPr>
          <w:rFonts w:ascii="Verdana" w:hAnsi="Verdana"/>
          <w:sz w:val="18"/>
          <w:szCs w:val="18"/>
        </w:rPr>
        <w:t>2000 gevallen van werkgerelateerde kanker en andere ziekten zullen</w:t>
      </w:r>
      <w:r w:rsidRPr="00CA7480">
        <w:rPr>
          <w:rFonts w:ascii="Verdana" w:hAnsi="Verdana"/>
          <w:sz w:val="18"/>
          <w:szCs w:val="18"/>
        </w:rPr>
        <w:t xml:space="preserve"> worden voorkomen.</w:t>
      </w:r>
    </w:p>
    <w:p w14:paraId="1A08484D" w14:textId="77777777" w:rsidR="002F4952" w:rsidRPr="00DA19A2" w:rsidRDefault="002F4952" w:rsidP="00CB7FF8">
      <w:pPr>
        <w:spacing w:line="360" w:lineRule="auto"/>
        <w:ind w:left="360" w:hanging="360"/>
        <w:rPr>
          <w:rFonts w:ascii="Verdana" w:hAnsi="Verdana"/>
          <w:b/>
          <w:sz w:val="18"/>
          <w:szCs w:val="18"/>
        </w:rPr>
      </w:pPr>
    </w:p>
    <w:p w14:paraId="4ACA63A6" w14:textId="77777777" w:rsidR="00CB7FF8" w:rsidRDefault="00CB7FF8" w:rsidP="00346A84">
      <w:pPr>
        <w:numPr>
          <w:ilvl w:val="0"/>
          <w:numId w:val="3"/>
        </w:numPr>
        <w:spacing w:line="360" w:lineRule="auto"/>
        <w:rPr>
          <w:rFonts w:ascii="Verdana" w:hAnsi="Verdana"/>
          <w:b/>
          <w:sz w:val="18"/>
          <w:szCs w:val="18"/>
        </w:rPr>
      </w:pPr>
      <w:r w:rsidRPr="00DA19A2">
        <w:rPr>
          <w:rFonts w:ascii="Verdana" w:hAnsi="Verdana"/>
          <w:b/>
          <w:sz w:val="18"/>
          <w:szCs w:val="18"/>
        </w:rPr>
        <w:t>Nederlandse</w:t>
      </w:r>
      <w:r w:rsidR="00F74E07">
        <w:rPr>
          <w:rFonts w:ascii="Verdana" w:hAnsi="Verdana"/>
          <w:b/>
          <w:sz w:val="18"/>
          <w:szCs w:val="18"/>
        </w:rPr>
        <w:t xml:space="preserve"> positie ten aanzien van het</w:t>
      </w:r>
      <w:r>
        <w:rPr>
          <w:rFonts w:ascii="Verdana" w:hAnsi="Verdana"/>
          <w:b/>
          <w:sz w:val="18"/>
          <w:szCs w:val="18"/>
        </w:rPr>
        <w:t xml:space="preserve"> voorstel</w:t>
      </w:r>
      <w:r w:rsidRPr="00DA19A2">
        <w:rPr>
          <w:rFonts w:ascii="Verdana" w:hAnsi="Verdana"/>
          <w:b/>
          <w:sz w:val="18"/>
          <w:szCs w:val="18"/>
        </w:rPr>
        <w:t xml:space="preserve"> </w:t>
      </w:r>
    </w:p>
    <w:p w14:paraId="515DC18D" w14:textId="77777777" w:rsidR="00F74E07" w:rsidRDefault="00F74E07" w:rsidP="00346A84">
      <w:pPr>
        <w:numPr>
          <w:ilvl w:val="0"/>
          <w:numId w:val="6"/>
        </w:numPr>
        <w:spacing w:line="360" w:lineRule="auto"/>
        <w:rPr>
          <w:rFonts w:ascii="Verdana" w:hAnsi="Verdana"/>
          <w:i/>
          <w:sz w:val="18"/>
          <w:szCs w:val="18"/>
        </w:rPr>
      </w:pPr>
      <w:r w:rsidRPr="00FD0CBD">
        <w:rPr>
          <w:rFonts w:ascii="Verdana" w:hAnsi="Verdana"/>
          <w:i/>
          <w:sz w:val="18"/>
          <w:szCs w:val="18"/>
        </w:rPr>
        <w:t>Essentie Nederlands beleid op dit terrein</w:t>
      </w:r>
    </w:p>
    <w:p w14:paraId="14D72DCB" w14:textId="77777777" w:rsidR="002F4952" w:rsidRPr="00CA7480" w:rsidRDefault="002F4952" w:rsidP="002F4952">
      <w:pPr>
        <w:spacing w:line="360" w:lineRule="auto"/>
        <w:rPr>
          <w:rFonts w:ascii="Verdana" w:hAnsi="Verdana"/>
          <w:sz w:val="18"/>
          <w:szCs w:val="18"/>
        </w:rPr>
      </w:pPr>
      <w:r w:rsidRPr="00CA7480">
        <w:rPr>
          <w:rFonts w:ascii="Verdana" w:hAnsi="Verdana"/>
          <w:sz w:val="18"/>
          <w:szCs w:val="18"/>
        </w:rPr>
        <w:t>Het kabinet hecht zeer aan gezond en veilig werken. Richtlijn 2004/37/EG is geïmplementeerd in de Nederlandse Arboregelgeving. Artikel 4.16 van het Arbeidsomstandighedenbesluit bepaalt dat er grenswaarden voor blootstelling aan kankerverwekkende of mutagene stoffen kunnen worden vastgesteld. Nederland heeft niet alleen de grenswaarden van richtlijn 2004/37/EG geïmplementeerd, maar heeft sinds de jaren ‘90 aanvullend nationale grenswaarden vastgesteld. Het betreft een met sociale partners afgestemd beleid waarbij wettelijke grenswaarden worden vastgesteld. Deze wettelijke grenswaarden zijn gebaseerd op een gezondheidskundige onderbouwing, in de meeste gevallen door de Gezondheidsraad. De Gezondheidsraad adviseert een waarde op een gezondheidskundig veilig niveau of, als dat niet kan (wat bij de meeste kankerverwekkende stoffen het geval is), zogenaamde risicogetallen (de waarde geeft dan een bepaald, laag, risico aan op het krijgen van kanker). Als de Gezondheidsraad risicogetallen geadviseerd heeft, wordt vervolgens door de SER beoordeeld of het gewenste lage risiconiveau haalbaar is. Naast de wettelijke grenswaarden geldt de verplichting dat, als er geen wettelijke grenswaarde geldt, de werkgever zelf een grenswaarde moet vaststellen waar hij de risico’s aan toetst.</w:t>
      </w:r>
    </w:p>
    <w:p w14:paraId="1E0489FB" w14:textId="77777777" w:rsidR="002F4952" w:rsidRPr="00FD0CBD" w:rsidRDefault="002F4952" w:rsidP="002F4952">
      <w:pPr>
        <w:spacing w:line="360" w:lineRule="auto"/>
        <w:rPr>
          <w:rFonts w:ascii="Verdana" w:hAnsi="Verdana"/>
          <w:i/>
          <w:sz w:val="18"/>
          <w:szCs w:val="18"/>
        </w:rPr>
      </w:pPr>
    </w:p>
    <w:p w14:paraId="2F2E35BB" w14:textId="77777777" w:rsidR="00F74E07" w:rsidRDefault="00F74E07" w:rsidP="00346A84">
      <w:pPr>
        <w:numPr>
          <w:ilvl w:val="0"/>
          <w:numId w:val="6"/>
        </w:numPr>
        <w:spacing w:line="360" w:lineRule="auto"/>
        <w:rPr>
          <w:rFonts w:ascii="Verdana" w:hAnsi="Verdana"/>
          <w:i/>
          <w:sz w:val="18"/>
          <w:szCs w:val="18"/>
        </w:rPr>
      </w:pPr>
      <w:r w:rsidRPr="00FD0CBD">
        <w:rPr>
          <w:rFonts w:ascii="Verdana" w:hAnsi="Verdana"/>
          <w:i/>
          <w:sz w:val="18"/>
          <w:szCs w:val="18"/>
        </w:rPr>
        <w:t>Beoordeling + inzet ten aanzien van dit voorstel</w:t>
      </w:r>
    </w:p>
    <w:p w14:paraId="59C3DAB3" w14:textId="6B503CED" w:rsidR="003C40B3" w:rsidRDefault="001F1EAA" w:rsidP="001F1EAA">
      <w:pPr>
        <w:spacing w:line="360" w:lineRule="auto"/>
        <w:rPr>
          <w:rFonts w:ascii="Verdana" w:hAnsi="Verdana"/>
          <w:sz w:val="18"/>
          <w:szCs w:val="18"/>
        </w:rPr>
      </w:pPr>
      <w:r w:rsidRPr="00CB1095">
        <w:rPr>
          <w:rFonts w:ascii="Verdana" w:hAnsi="Verdana"/>
          <w:sz w:val="18"/>
          <w:szCs w:val="18"/>
        </w:rPr>
        <w:t xml:space="preserve">Het kabinet staat positief ten opzichte van dit voorstel. Afgelopen jaren heeft het kabinet, </w:t>
      </w:r>
      <w:r w:rsidR="00B145FB" w:rsidRPr="00CB1095">
        <w:rPr>
          <w:rFonts w:ascii="Verdana" w:hAnsi="Verdana"/>
          <w:sz w:val="18"/>
          <w:szCs w:val="18"/>
        </w:rPr>
        <w:t xml:space="preserve">soms </w:t>
      </w:r>
      <w:r w:rsidRPr="00CB1095">
        <w:rPr>
          <w:rFonts w:ascii="Verdana" w:hAnsi="Verdana"/>
          <w:sz w:val="18"/>
          <w:szCs w:val="18"/>
        </w:rPr>
        <w:t>samen met andere lidstaten en Nederlandse werkgevers- en werknemersvertegenwoordiging</w:t>
      </w:r>
      <w:r w:rsidR="004D6B03">
        <w:rPr>
          <w:rFonts w:ascii="Verdana" w:hAnsi="Verdana"/>
          <w:sz w:val="18"/>
          <w:szCs w:val="18"/>
        </w:rPr>
        <w:t>en</w:t>
      </w:r>
      <w:r w:rsidRPr="00CB1095">
        <w:rPr>
          <w:rFonts w:ascii="Verdana" w:hAnsi="Verdana"/>
          <w:sz w:val="18"/>
          <w:szCs w:val="18"/>
        </w:rPr>
        <w:t xml:space="preserve">, herhaaldelijk aan de Commissie verzocht om een substantiële uitbreiding van het aantal stoffen met grenswaarden in de Europese richtlijn. Het kabinet is </w:t>
      </w:r>
      <w:r w:rsidR="00940D15">
        <w:rPr>
          <w:rFonts w:ascii="Verdana" w:hAnsi="Verdana"/>
          <w:sz w:val="18"/>
          <w:szCs w:val="18"/>
        </w:rPr>
        <w:t xml:space="preserve">daarom </w:t>
      </w:r>
      <w:r w:rsidRPr="00CB1095">
        <w:rPr>
          <w:rFonts w:ascii="Verdana" w:hAnsi="Verdana"/>
          <w:sz w:val="18"/>
          <w:szCs w:val="18"/>
        </w:rPr>
        <w:t xml:space="preserve">positief over de huidige uitbreiding. </w:t>
      </w:r>
      <w:r w:rsidR="0020585B">
        <w:rPr>
          <w:rFonts w:ascii="Verdana" w:hAnsi="Verdana"/>
          <w:sz w:val="18"/>
          <w:szCs w:val="18"/>
        </w:rPr>
        <w:t>Het kabinet</w:t>
      </w:r>
      <w:r w:rsidR="0020585B" w:rsidRPr="00CB1095">
        <w:rPr>
          <w:rFonts w:ascii="Verdana" w:hAnsi="Verdana"/>
          <w:sz w:val="18"/>
          <w:szCs w:val="18"/>
        </w:rPr>
        <w:t xml:space="preserve"> </w:t>
      </w:r>
      <w:r w:rsidRPr="00CB1095">
        <w:rPr>
          <w:rFonts w:ascii="Verdana" w:hAnsi="Verdana"/>
          <w:sz w:val="18"/>
          <w:szCs w:val="18"/>
        </w:rPr>
        <w:t>is daarentegen teleurgesteld over het relatief beperkt aantal stoffen waarvoor grenswaarden wordt voorgesteld in dit voorstel.</w:t>
      </w:r>
    </w:p>
    <w:p w14:paraId="3AD15CC5" w14:textId="446E6274" w:rsidR="001F1EAA" w:rsidRPr="00CB1095" w:rsidRDefault="001F1EAA" w:rsidP="001F1EAA">
      <w:pPr>
        <w:spacing w:line="360" w:lineRule="auto"/>
        <w:rPr>
          <w:rFonts w:ascii="Verdana" w:hAnsi="Verdana"/>
          <w:sz w:val="18"/>
          <w:szCs w:val="18"/>
        </w:rPr>
      </w:pPr>
      <w:r w:rsidRPr="00CB1095">
        <w:rPr>
          <w:rFonts w:ascii="Verdana" w:hAnsi="Verdana"/>
          <w:sz w:val="18"/>
          <w:szCs w:val="18"/>
        </w:rPr>
        <w:t xml:space="preserve"> </w:t>
      </w:r>
    </w:p>
    <w:p w14:paraId="0CE0C6B0" w14:textId="32F7DF17" w:rsidR="001F1EAA" w:rsidRPr="008927F0" w:rsidRDefault="0020585B" w:rsidP="001F1EAA">
      <w:pPr>
        <w:spacing w:line="360" w:lineRule="auto"/>
        <w:rPr>
          <w:rFonts w:ascii="Verdana" w:hAnsi="Verdana"/>
          <w:sz w:val="18"/>
          <w:szCs w:val="18"/>
        </w:rPr>
      </w:pPr>
      <w:r>
        <w:rPr>
          <w:rFonts w:ascii="Verdana" w:hAnsi="Verdana"/>
          <w:sz w:val="18"/>
          <w:szCs w:val="18"/>
        </w:rPr>
        <w:t>Het kabinet</w:t>
      </w:r>
      <w:r w:rsidRPr="008927F0">
        <w:rPr>
          <w:rFonts w:ascii="Verdana" w:hAnsi="Verdana"/>
          <w:sz w:val="18"/>
          <w:szCs w:val="18"/>
        </w:rPr>
        <w:t xml:space="preserve"> </w:t>
      </w:r>
      <w:r w:rsidR="001F1EAA" w:rsidRPr="008927F0">
        <w:rPr>
          <w:rFonts w:ascii="Verdana" w:hAnsi="Verdana"/>
          <w:sz w:val="18"/>
          <w:szCs w:val="18"/>
        </w:rPr>
        <w:t xml:space="preserve">streeft naar uitbreiding van het aantal stoffen met grenswaarden op Europees niveau totdat een substantiële bescherming van werknemers tegen de blootstelling aan kankerverwekkende stoffen bereikt is. </w:t>
      </w:r>
      <w:r>
        <w:rPr>
          <w:rFonts w:ascii="Verdana" w:hAnsi="Verdana"/>
          <w:sz w:val="18"/>
          <w:szCs w:val="18"/>
        </w:rPr>
        <w:t>Het kabinet</w:t>
      </w:r>
      <w:r w:rsidRPr="008927F0">
        <w:rPr>
          <w:rFonts w:ascii="Verdana" w:hAnsi="Verdana"/>
          <w:sz w:val="18"/>
          <w:szCs w:val="18"/>
        </w:rPr>
        <w:t xml:space="preserve"> </w:t>
      </w:r>
      <w:r w:rsidR="00CB1095" w:rsidRPr="008927F0">
        <w:rPr>
          <w:rFonts w:ascii="Verdana" w:hAnsi="Verdana"/>
          <w:sz w:val="18"/>
          <w:szCs w:val="18"/>
        </w:rPr>
        <w:t>is daarom verheugd dat de Commissie bij h</w:t>
      </w:r>
      <w:r w:rsidR="008927F0" w:rsidRPr="008927F0">
        <w:rPr>
          <w:rFonts w:ascii="Verdana" w:hAnsi="Verdana"/>
          <w:sz w:val="18"/>
          <w:szCs w:val="18"/>
        </w:rPr>
        <w:t>aar introductie van het voorstel al vooruitkijkt naar een vijfde wijzigingsvoorstel met grenswaarden.</w:t>
      </w:r>
    </w:p>
    <w:p w14:paraId="26330E9A" w14:textId="77777777" w:rsidR="001F1EAA" w:rsidRDefault="001F1EAA" w:rsidP="001F1EAA">
      <w:pPr>
        <w:spacing w:line="360" w:lineRule="auto"/>
        <w:rPr>
          <w:rFonts w:ascii="Verdana" w:hAnsi="Verdana"/>
          <w:i/>
          <w:sz w:val="18"/>
          <w:szCs w:val="18"/>
        </w:rPr>
      </w:pPr>
    </w:p>
    <w:p w14:paraId="0FC3FA6C" w14:textId="6A364AB2" w:rsidR="008927F0" w:rsidRPr="00940D15" w:rsidRDefault="0020585B" w:rsidP="00940D15">
      <w:pPr>
        <w:autoSpaceDE w:val="0"/>
        <w:autoSpaceDN w:val="0"/>
        <w:adjustRightInd w:val="0"/>
        <w:spacing w:line="360" w:lineRule="auto"/>
        <w:rPr>
          <w:rFonts w:ascii="Verdana" w:hAnsi="Verdana" w:cs="Verdana"/>
          <w:sz w:val="18"/>
          <w:szCs w:val="18"/>
          <w:lang w:eastAsia="nl-NL"/>
        </w:rPr>
      </w:pPr>
      <w:r>
        <w:rPr>
          <w:rFonts w:ascii="Verdana" w:hAnsi="Verdana"/>
          <w:sz w:val="18"/>
          <w:szCs w:val="18"/>
        </w:rPr>
        <w:t xml:space="preserve">Het kabinet </w:t>
      </w:r>
      <w:r w:rsidR="00AC57F0">
        <w:rPr>
          <w:rFonts w:ascii="Verdana" w:hAnsi="Verdana"/>
          <w:sz w:val="18"/>
          <w:szCs w:val="18"/>
        </w:rPr>
        <w:t>zou graag nog</w:t>
      </w:r>
      <w:r w:rsidR="00940D15">
        <w:rPr>
          <w:rFonts w:ascii="Verdana" w:hAnsi="Verdana"/>
          <w:sz w:val="18"/>
          <w:szCs w:val="18"/>
        </w:rPr>
        <w:t xml:space="preserve"> in het voorstel </w:t>
      </w:r>
      <w:r w:rsidR="00AC57F0">
        <w:rPr>
          <w:rFonts w:ascii="Verdana" w:hAnsi="Verdana"/>
          <w:sz w:val="18"/>
          <w:szCs w:val="18"/>
        </w:rPr>
        <w:t>opgenomen zien</w:t>
      </w:r>
      <w:r w:rsidR="00940D15">
        <w:rPr>
          <w:rFonts w:ascii="Verdana" w:hAnsi="Verdana"/>
          <w:sz w:val="18"/>
          <w:szCs w:val="18"/>
        </w:rPr>
        <w:t xml:space="preserve"> dat </w:t>
      </w:r>
      <w:r w:rsidR="00AC57F0">
        <w:rPr>
          <w:rFonts w:ascii="Verdana" w:hAnsi="Verdana"/>
          <w:sz w:val="18"/>
          <w:szCs w:val="18"/>
        </w:rPr>
        <w:t xml:space="preserve">uiterlijk in januari 2028 door de Commissie een onderzoek naar </w:t>
      </w:r>
      <w:r w:rsidR="00940D15">
        <w:rPr>
          <w:rFonts w:ascii="Verdana" w:hAnsi="Verdana"/>
          <w:sz w:val="18"/>
          <w:szCs w:val="18"/>
        </w:rPr>
        <w:t xml:space="preserve">de haalbaarheid van een verdere verlaging van de grenswaarde van benzeen </w:t>
      </w:r>
      <w:r w:rsidR="00AC57F0">
        <w:rPr>
          <w:rFonts w:ascii="Verdana" w:hAnsi="Verdana"/>
          <w:sz w:val="18"/>
          <w:szCs w:val="18"/>
        </w:rPr>
        <w:t>wordt gestart, zoals in het advies van het</w:t>
      </w:r>
      <w:r w:rsidR="00940D15" w:rsidRPr="00822157">
        <w:rPr>
          <w:rFonts w:ascii="Verdana" w:hAnsi="Verdana" w:cs="Verdana"/>
          <w:sz w:val="18"/>
          <w:szCs w:val="18"/>
          <w:lang w:eastAsia="nl-NL"/>
        </w:rPr>
        <w:t xml:space="preserve"> E</w:t>
      </w:r>
      <w:r w:rsidR="00AC67D2">
        <w:rPr>
          <w:rFonts w:ascii="Verdana" w:hAnsi="Verdana" w:cs="Verdana"/>
          <w:sz w:val="18"/>
          <w:szCs w:val="18"/>
          <w:lang w:eastAsia="nl-NL"/>
        </w:rPr>
        <w:t>uropese Raadgevend Comité voor Veiligheid en G</w:t>
      </w:r>
      <w:r w:rsidR="00940D15" w:rsidRPr="00822157">
        <w:rPr>
          <w:rFonts w:ascii="Verdana" w:hAnsi="Verdana" w:cs="Verdana"/>
          <w:sz w:val="18"/>
          <w:szCs w:val="18"/>
          <w:lang w:eastAsia="nl-NL"/>
        </w:rPr>
        <w:t>ezondheid op de</w:t>
      </w:r>
      <w:r w:rsidR="00AC67D2">
        <w:rPr>
          <w:rFonts w:ascii="Verdana" w:hAnsi="Verdana" w:cs="Verdana"/>
          <w:sz w:val="18"/>
          <w:szCs w:val="18"/>
          <w:lang w:eastAsia="nl-NL"/>
        </w:rPr>
        <w:t xml:space="preserve"> </w:t>
      </w:r>
      <w:r w:rsidR="00940D15">
        <w:rPr>
          <w:rFonts w:ascii="Verdana" w:hAnsi="Verdana" w:cs="Verdana"/>
          <w:sz w:val="18"/>
          <w:szCs w:val="18"/>
          <w:lang w:eastAsia="nl-NL"/>
        </w:rPr>
        <w:t xml:space="preserve">Werkplek was opgenomen. </w:t>
      </w:r>
    </w:p>
    <w:p w14:paraId="6C6AB7DB" w14:textId="77777777" w:rsidR="00C77C7E" w:rsidRDefault="00C77C7E" w:rsidP="001F1EAA">
      <w:pPr>
        <w:spacing w:line="360" w:lineRule="auto"/>
        <w:rPr>
          <w:rFonts w:ascii="Verdana" w:hAnsi="Verdana"/>
          <w:sz w:val="18"/>
          <w:szCs w:val="18"/>
        </w:rPr>
      </w:pPr>
    </w:p>
    <w:p w14:paraId="551C365B" w14:textId="2663FC6D" w:rsidR="002F4952" w:rsidRDefault="0020585B" w:rsidP="001F1EAA">
      <w:pPr>
        <w:spacing w:line="360" w:lineRule="auto"/>
        <w:rPr>
          <w:rFonts w:ascii="Verdana" w:hAnsi="Verdana"/>
          <w:sz w:val="18"/>
          <w:szCs w:val="18"/>
        </w:rPr>
      </w:pPr>
      <w:r>
        <w:rPr>
          <w:rFonts w:ascii="Verdana" w:hAnsi="Verdana"/>
          <w:sz w:val="18"/>
          <w:szCs w:val="18"/>
        </w:rPr>
        <w:t>Het kabinet</w:t>
      </w:r>
      <w:r w:rsidRPr="00137AF3">
        <w:rPr>
          <w:rFonts w:ascii="Verdana" w:hAnsi="Verdana"/>
          <w:sz w:val="18"/>
          <w:szCs w:val="18"/>
        </w:rPr>
        <w:t xml:space="preserve"> </w:t>
      </w:r>
      <w:r w:rsidR="001E42FE">
        <w:rPr>
          <w:rFonts w:ascii="Verdana" w:hAnsi="Verdana"/>
          <w:sz w:val="18"/>
          <w:szCs w:val="18"/>
        </w:rPr>
        <w:t>ontvangt graag meer informatie over het doel</w:t>
      </w:r>
      <w:r w:rsidR="00137AF3">
        <w:rPr>
          <w:rFonts w:ascii="Verdana" w:hAnsi="Verdana"/>
          <w:sz w:val="18"/>
          <w:szCs w:val="18"/>
        </w:rPr>
        <w:t xml:space="preserve"> van </w:t>
      </w:r>
      <w:r w:rsidR="001F1EAA" w:rsidRPr="00137AF3">
        <w:rPr>
          <w:rFonts w:ascii="Verdana" w:hAnsi="Verdana"/>
          <w:sz w:val="18"/>
          <w:szCs w:val="18"/>
        </w:rPr>
        <w:t xml:space="preserve">de </w:t>
      </w:r>
      <w:r w:rsidR="00137AF3">
        <w:rPr>
          <w:rFonts w:ascii="Verdana" w:hAnsi="Verdana"/>
          <w:sz w:val="18"/>
          <w:szCs w:val="18"/>
        </w:rPr>
        <w:t xml:space="preserve">door de </w:t>
      </w:r>
      <w:r w:rsidR="001F1EAA" w:rsidRPr="00137AF3">
        <w:rPr>
          <w:rFonts w:ascii="Verdana" w:hAnsi="Verdana"/>
          <w:sz w:val="18"/>
          <w:szCs w:val="18"/>
        </w:rPr>
        <w:t xml:space="preserve">Commissie voorgestelde notaties voor sensibilisatie. </w:t>
      </w:r>
      <w:r w:rsidR="00137AF3">
        <w:rPr>
          <w:rFonts w:ascii="Verdana" w:hAnsi="Verdana"/>
          <w:sz w:val="18"/>
          <w:szCs w:val="18"/>
        </w:rPr>
        <w:t>De betekenis, t.o.v. de notaties die al voortkomen uit CLP</w:t>
      </w:r>
      <w:r w:rsidR="00137AF3">
        <w:rPr>
          <w:rStyle w:val="FootnoteReference"/>
          <w:rFonts w:ascii="Verdana" w:hAnsi="Verdana"/>
          <w:sz w:val="18"/>
          <w:szCs w:val="18"/>
        </w:rPr>
        <w:footnoteReference w:id="9"/>
      </w:r>
      <w:r w:rsidR="00137AF3">
        <w:rPr>
          <w:rFonts w:ascii="Verdana" w:hAnsi="Verdana"/>
          <w:sz w:val="18"/>
          <w:szCs w:val="18"/>
        </w:rPr>
        <w:t xml:space="preserve">, is niet duidelijk. </w:t>
      </w:r>
      <w:r>
        <w:rPr>
          <w:rFonts w:ascii="Verdana" w:hAnsi="Verdana"/>
          <w:sz w:val="18"/>
          <w:szCs w:val="18"/>
        </w:rPr>
        <w:t>Het kabinet</w:t>
      </w:r>
      <w:r w:rsidRPr="00137AF3">
        <w:rPr>
          <w:rFonts w:ascii="Verdana" w:hAnsi="Verdana"/>
          <w:sz w:val="18"/>
          <w:szCs w:val="18"/>
        </w:rPr>
        <w:t xml:space="preserve"> </w:t>
      </w:r>
      <w:r w:rsidR="001F1EAA" w:rsidRPr="00137AF3">
        <w:rPr>
          <w:rFonts w:ascii="Verdana" w:hAnsi="Verdana"/>
          <w:sz w:val="18"/>
          <w:szCs w:val="18"/>
        </w:rPr>
        <w:t>ga</w:t>
      </w:r>
      <w:r w:rsidR="00137AF3">
        <w:rPr>
          <w:rFonts w:ascii="Verdana" w:hAnsi="Verdana"/>
          <w:sz w:val="18"/>
          <w:szCs w:val="18"/>
        </w:rPr>
        <w:t xml:space="preserve">at er vooralsnog van uit dat deze notaties, naast </w:t>
      </w:r>
      <w:r w:rsidR="001E42FE">
        <w:rPr>
          <w:rFonts w:ascii="Verdana" w:hAnsi="Verdana"/>
          <w:sz w:val="18"/>
          <w:szCs w:val="18"/>
        </w:rPr>
        <w:t xml:space="preserve">het voldoen aan </w:t>
      </w:r>
      <w:r w:rsidR="00137AF3">
        <w:rPr>
          <w:rFonts w:ascii="Verdana" w:hAnsi="Verdana"/>
          <w:sz w:val="18"/>
          <w:szCs w:val="18"/>
        </w:rPr>
        <w:t>de nieuwe gre</w:t>
      </w:r>
      <w:r w:rsidR="001E42FE">
        <w:rPr>
          <w:rFonts w:ascii="Verdana" w:hAnsi="Verdana"/>
          <w:sz w:val="18"/>
          <w:szCs w:val="18"/>
        </w:rPr>
        <w:t>n</w:t>
      </w:r>
      <w:r w:rsidR="00137AF3">
        <w:rPr>
          <w:rFonts w:ascii="Verdana" w:hAnsi="Verdana"/>
          <w:sz w:val="18"/>
          <w:szCs w:val="18"/>
        </w:rPr>
        <w:t xml:space="preserve">swaarden, geen </w:t>
      </w:r>
      <w:r w:rsidR="004D6B03">
        <w:rPr>
          <w:rFonts w:ascii="Verdana" w:hAnsi="Verdana"/>
          <w:sz w:val="18"/>
          <w:szCs w:val="18"/>
        </w:rPr>
        <w:t>extra verplichtingen inhouden</w:t>
      </w:r>
      <w:r w:rsidR="001F1EAA" w:rsidRPr="00137AF3">
        <w:rPr>
          <w:rFonts w:ascii="Verdana" w:hAnsi="Verdana"/>
          <w:sz w:val="18"/>
          <w:szCs w:val="18"/>
        </w:rPr>
        <w:t xml:space="preserve"> voor de werkgever</w:t>
      </w:r>
      <w:r w:rsidR="00137AF3">
        <w:rPr>
          <w:rFonts w:ascii="Verdana" w:hAnsi="Verdana"/>
          <w:sz w:val="18"/>
          <w:szCs w:val="18"/>
        </w:rPr>
        <w:t xml:space="preserve"> en lidstaten</w:t>
      </w:r>
      <w:r w:rsidR="001F1EAA" w:rsidRPr="00137AF3">
        <w:rPr>
          <w:rFonts w:ascii="Verdana" w:hAnsi="Verdana"/>
          <w:sz w:val="18"/>
          <w:szCs w:val="18"/>
        </w:rPr>
        <w:t xml:space="preserve">, </w:t>
      </w:r>
      <w:r w:rsidR="00137AF3">
        <w:rPr>
          <w:rFonts w:ascii="Verdana" w:hAnsi="Verdana"/>
          <w:sz w:val="18"/>
          <w:szCs w:val="18"/>
        </w:rPr>
        <w:t xml:space="preserve">maar dat deze voor bewustwordingsdoeleinden </w:t>
      </w:r>
      <w:r w:rsidR="004D6B03">
        <w:rPr>
          <w:rFonts w:ascii="Verdana" w:hAnsi="Verdana"/>
          <w:sz w:val="18"/>
          <w:szCs w:val="18"/>
        </w:rPr>
        <w:t>zijn</w:t>
      </w:r>
      <w:r w:rsidR="00137AF3">
        <w:rPr>
          <w:rFonts w:ascii="Verdana" w:hAnsi="Verdana"/>
          <w:sz w:val="18"/>
          <w:szCs w:val="18"/>
        </w:rPr>
        <w:t xml:space="preserve"> gebruikt.</w:t>
      </w:r>
    </w:p>
    <w:p w14:paraId="11081482" w14:textId="5B868D6B" w:rsidR="002F4952" w:rsidRDefault="002F4952" w:rsidP="002F4952">
      <w:pPr>
        <w:spacing w:line="360" w:lineRule="auto"/>
        <w:rPr>
          <w:rFonts w:ascii="Verdana" w:hAnsi="Verdana"/>
          <w:i/>
          <w:sz w:val="18"/>
          <w:szCs w:val="18"/>
        </w:rPr>
      </w:pPr>
    </w:p>
    <w:p w14:paraId="7E07891A" w14:textId="77777777" w:rsidR="00F74E07" w:rsidRDefault="0018227F" w:rsidP="00346A84">
      <w:pPr>
        <w:numPr>
          <w:ilvl w:val="0"/>
          <w:numId w:val="6"/>
        </w:numPr>
        <w:spacing w:line="360" w:lineRule="auto"/>
        <w:rPr>
          <w:rFonts w:ascii="Verdana" w:hAnsi="Verdana"/>
          <w:i/>
          <w:sz w:val="18"/>
          <w:szCs w:val="18"/>
        </w:rPr>
      </w:pPr>
      <w:r>
        <w:rPr>
          <w:rFonts w:ascii="Verdana" w:hAnsi="Verdana"/>
          <w:i/>
          <w:sz w:val="18"/>
          <w:szCs w:val="18"/>
        </w:rPr>
        <w:t>Eerste inschatting van k</w:t>
      </w:r>
      <w:r w:rsidR="00F74E07">
        <w:rPr>
          <w:rFonts w:ascii="Verdana" w:hAnsi="Verdana"/>
          <w:i/>
          <w:sz w:val="18"/>
          <w:szCs w:val="18"/>
        </w:rPr>
        <w:t>rachtenveld</w:t>
      </w:r>
    </w:p>
    <w:p w14:paraId="0223AE66" w14:textId="48025637" w:rsidR="001F1EAA" w:rsidRDefault="001F1EAA" w:rsidP="001F1EAA">
      <w:pPr>
        <w:spacing w:line="360" w:lineRule="auto"/>
        <w:rPr>
          <w:rFonts w:ascii="Verdana" w:hAnsi="Verdana"/>
          <w:sz w:val="18"/>
          <w:szCs w:val="18"/>
        </w:rPr>
      </w:pPr>
      <w:r w:rsidRPr="002A5959">
        <w:rPr>
          <w:rFonts w:ascii="Verdana" w:hAnsi="Verdana"/>
          <w:sz w:val="18"/>
          <w:szCs w:val="18"/>
        </w:rPr>
        <w:t>In het Europese raadgevend Comité Veilig en Gezond Werken (bestaande uit overheden en sociale partners) bestaat steun voor de waarden die nu door de Commissie in het voorstel zijn opgenomen. Er is in algemene zin een brede steun bij lidstaten voor aanpassing van deze richtlijn en uitbreiding van het aantal grenswaarden, zoals bleek bij de behandeling van de eer</w:t>
      </w:r>
      <w:r w:rsidR="002A5959" w:rsidRPr="002A5959">
        <w:rPr>
          <w:rFonts w:ascii="Verdana" w:hAnsi="Verdana"/>
          <w:sz w:val="18"/>
          <w:szCs w:val="18"/>
        </w:rPr>
        <w:t>ste drie</w:t>
      </w:r>
      <w:r w:rsidRPr="002A5959">
        <w:rPr>
          <w:rFonts w:ascii="Verdana" w:hAnsi="Verdana"/>
          <w:sz w:val="18"/>
          <w:szCs w:val="18"/>
        </w:rPr>
        <w:t xml:space="preserve"> uitbreidingsvoorstellen. Het Europees </w:t>
      </w:r>
      <w:r w:rsidR="00F63B8D">
        <w:rPr>
          <w:rFonts w:ascii="Verdana" w:hAnsi="Verdana"/>
          <w:sz w:val="18"/>
          <w:szCs w:val="18"/>
        </w:rPr>
        <w:t>P</w:t>
      </w:r>
      <w:r w:rsidRPr="002A5959">
        <w:rPr>
          <w:rFonts w:ascii="Verdana" w:hAnsi="Verdana"/>
          <w:sz w:val="18"/>
          <w:szCs w:val="18"/>
        </w:rPr>
        <w:t xml:space="preserve">arlement heeft zich in 2015 in algemene zin uitgesproken voor uitbreiding van het aantal stoffen met grenswaarden in deze richtlijn. </w:t>
      </w:r>
    </w:p>
    <w:p w14:paraId="1CB25B38" w14:textId="0DECF1B6" w:rsidR="00FE2D11" w:rsidRDefault="00FE2D11" w:rsidP="001F1EAA">
      <w:pPr>
        <w:spacing w:line="360" w:lineRule="auto"/>
        <w:rPr>
          <w:rFonts w:ascii="Verdana" w:hAnsi="Verdana"/>
          <w:sz w:val="18"/>
          <w:szCs w:val="18"/>
        </w:rPr>
      </w:pPr>
    </w:p>
    <w:p w14:paraId="5601797B" w14:textId="77777777" w:rsidR="00FE2D11" w:rsidRPr="002A5959" w:rsidRDefault="00FE2D11" w:rsidP="001F1EAA">
      <w:pPr>
        <w:spacing w:line="360" w:lineRule="auto"/>
        <w:rPr>
          <w:rFonts w:ascii="Verdana" w:hAnsi="Verdana"/>
          <w:sz w:val="18"/>
          <w:szCs w:val="18"/>
        </w:rPr>
      </w:pPr>
    </w:p>
    <w:p w14:paraId="2DE62D96" w14:textId="77777777" w:rsidR="00E539A8" w:rsidRDefault="00E539A8" w:rsidP="00CB7FF8">
      <w:pPr>
        <w:spacing w:line="360" w:lineRule="auto"/>
        <w:ind w:left="360"/>
        <w:rPr>
          <w:rFonts w:ascii="Verdana" w:hAnsi="Verdana"/>
          <w:b/>
          <w:sz w:val="18"/>
          <w:szCs w:val="18"/>
        </w:rPr>
      </w:pPr>
    </w:p>
    <w:p w14:paraId="726FA59D" w14:textId="77777777" w:rsidR="00A15B58" w:rsidRPr="00CB7FF8" w:rsidRDefault="00A15B58" w:rsidP="00346A84">
      <w:pPr>
        <w:numPr>
          <w:ilvl w:val="0"/>
          <w:numId w:val="3"/>
        </w:numPr>
        <w:spacing w:line="360" w:lineRule="auto"/>
        <w:rPr>
          <w:rFonts w:ascii="Verdana" w:hAnsi="Verdana"/>
          <w:i/>
          <w:iCs/>
          <w:sz w:val="18"/>
          <w:szCs w:val="18"/>
        </w:rPr>
      </w:pPr>
      <w:r>
        <w:rPr>
          <w:rFonts w:ascii="Verdana" w:hAnsi="Verdana"/>
          <w:b/>
          <w:sz w:val="18"/>
          <w:szCs w:val="18"/>
        </w:rPr>
        <w:t>Beoordeling bevoegdheid, subsidiariteit en proportionaliteit</w:t>
      </w:r>
      <w:r w:rsidRPr="00CB7FF8">
        <w:rPr>
          <w:rFonts w:ascii="Verdana" w:hAnsi="Verdana"/>
          <w:b/>
          <w:sz w:val="18"/>
          <w:szCs w:val="18"/>
        </w:rPr>
        <w:t xml:space="preserve"> </w:t>
      </w:r>
    </w:p>
    <w:p w14:paraId="40316BE0" w14:textId="77777777" w:rsidR="00A15B58" w:rsidRDefault="00076EDE" w:rsidP="00346A84">
      <w:pPr>
        <w:pStyle w:val="Spreekpunten"/>
        <w:numPr>
          <w:ilvl w:val="0"/>
          <w:numId w:val="7"/>
        </w:numPr>
        <w:rPr>
          <w:rFonts w:ascii="Verdana" w:hAnsi="Verdana"/>
          <w:i/>
          <w:iCs/>
          <w:sz w:val="18"/>
          <w:szCs w:val="18"/>
          <w:lang w:val="nl-NL" w:eastAsia="zh-CN"/>
        </w:rPr>
      </w:pPr>
      <w:r>
        <w:rPr>
          <w:rFonts w:ascii="Verdana" w:hAnsi="Verdana"/>
          <w:i/>
          <w:iCs/>
          <w:sz w:val="18"/>
          <w:szCs w:val="18"/>
          <w:lang w:val="nl-NL" w:eastAsia="zh-CN"/>
        </w:rPr>
        <w:t>B</w:t>
      </w:r>
      <w:r w:rsidR="00A15B58">
        <w:rPr>
          <w:rFonts w:ascii="Verdana" w:hAnsi="Verdana"/>
          <w:i/>
          <w:iCs/>
          <w:sz w:val="18"/>
          <w:szCs w:val="18"/>
          <w:lang w:val="nl-NL" w:eastAsia="zh-CN"/>
        </w:rPr>
        <w:t>evoegdheid</w:t>
      </w:r>
    </w:p>
    <w:p w14:paraId="43044352" w14:textId="4F965ADC" w:rsidR="002F4952" w:rsidRPr="008F31C1" w:rsidRDefault="002F4952" w:rsidP="002F4952">
      <w:pPr>
        <w:pStyle w:val="Spreekpunten"/>
        <w:numPr>
          <w:ilvl w:val="0"/>
          <w:numId w:val="0"/>
        </w:numPr>
        <w:rPr>
          <w:rFonts w:ascii="Verdana" w:hAnsi="Verdana"/>
          <w:iCs/>
          <w:sz w:val="18"/>
          <w:szCs w:val="18"/>
          <w:lang w:val="nl-NL" w:eastAsia="zh-CN"/>
        </w:rPr>
      </w:pPr>
      <w:r w:rsidRPr="003C40B3">
        <w:rPr>
          <w:rFonts w:ascii="Verdana" w:hAnsi="Verdana"/>
          <w:iCs/>
          <w:sz w:val="18"/>
          <w:szCs w:val="18"/>
          <w:lang w:val="nl-NL" w:eastAsia="zh-CN"/>
        </w:rPr>
        <w:t xml:space="preserve">De Commissie baseert de bevoegdheid van de EU op artikel 153, lid 2, onder b, in samenhang met artikel 153, lid 1, onder aVWEU. Het kabinet is van oordeel dat dit de juiste rechtsbasis is. </w:t>
      </w:r>
      <w:r w:rsidR="00870C18">
        <w:rPr>
          <w:rFonts w:ascii="Verdana" w:hAnsi="Verdana"/>
          <w:iCs/>
          <w:sz w:val="18"/>
          <w:szCs w:val="18"/>
          <w:lang w:val="nl-NL" w:eastAsia="zh-CN"/>
        </w:rPr>
        <w:t xml:space="preserve">De bescherming en verbetering van de menselijke gezondheid betreft </w:t>
      </w:r>
      <w:r w:rsidRPr="003C40B3">
        <w:rPr>
          <w:rFonts w:ascii="Verdana" w:hAnsi="Verdana"/>
          <w:iCs/>
          <w:sz w:val="18"/>
          <w:szCs w:val="18"/>
          <w:lang w:val="nl-NL" w:eastAsia="zh-CN"/>
        </w:rPr>
        <w:t>ee</w:t>
      </w:r>
      <w:r w:rsidR="001F1EAA" w:rsidRPr="003C40B3">
        <w:rPr>
          <w:rFonts w:ascii="Verdana" w:hAnsi="Verdana"/>
          <w:iCs/>
          <w:sz w:val="18"/>
          <w:szCs w:val="18"/>
          <w:lang w:val="nl-NL" w:eastAsia="zh-CN"/>
        </w:rPr>
        <w:t xml:space="preserve">n </w:t>
      </w:r>
      <w:r w:rsidRPr="003C40B3">
        <w:rPr>
          <w:rFonts w:ascii="Verdana" w:hAnsi="Verdana"/>
          <w:iCs/>
          <w:sz w:val="18"/>
          <w:szCs w:val="18"/>
          <w:lang w:val="nl-NL" w:eastAsia="zh-CN"/>
        </w:rPr>
        <w:t>ondersteunde/aanvullende bevoegdheid van de Unie (zie art. 6, onder a, VWEU). Op grond van art. 153, lid 2, onder b, VWEU kan de Uniewetgeverdoor middel van richtlijnen minimumvoorschriften vaststellen op de in lid 1, onder a t/m i bedoelde gebieden, met inachtneming van de in elk van de lidstaten bestaande omstandigheden en technische voorschriften. Ook de huidige richtlijn 2004/37/EG is vastgesteld op grond van deze rechtsgrondslag, met het oog op de verbetering van de veiligheid en de gezondheid van werknemers. Het doel van dit voorstel is het versterken van de bescherming van de gezondheid van werknemers, in overeenstemming met art. 153, lid 1, onder a, VWEU, door grenswaarden en notaties op te nemen in bijlage III bij de richtlijn.</w:t>
      </w:r>
    </w:p>
    <w:p w14:paraId="15977D8E" w14:textId="77777777" w:rsidR="002F4952" w:rsidRDefault="002F4952" w:rsidP="002F4952">
      <w:pPr>
        <w:pStyle w:val="Spreekpunten"/>
        <w:numPr>
          <w:ilvl w:val="0"/>
          <w:numId w:val="0"/>
        </w:numPr>
        <w:rPr>
          <w:rFonts w:ascii="Verdana" w:hAnsi="Verdana"/>
          <w:i/>
          <w:iCs/>
          <w:sz w:val="18"/>
          <w:szCs w:val="18"/>
          <w:lang w:val="nl-NL" w:eastAsia="zh-CN"/>
        </w:rPr>
      </w:pPr>
    </w:p>
    <w:p w14:paraId="6FB85F1D" w14:textId="77777777" w:rsidR="00A15B58" w:rsidRDefault="00076EDE" w:rsidP="00346A84">
      <w:pPr>
        <w:pStyle w:val="Spreekpunten"/>
        <w:numPr>
          <w:ilvl w:val="0"/>
          <w:numId w:val="7"/>
        </w:numPr>
        <w:rPr>
          <w:rFonts w:ascii="Verdana" w:hAnsi="Verdana"/>
          <w:i/>
          <w:iCs/>
          <w:sz w:val="18"/>
          <w:szCs w:val="18"/>
          <w:lang w:val="nl-NL" w:eastAsia="zh-CN"/>
        </w:rPr>
      </w:pPr>
      <w:r>
        <w:rPr>
          <w:rFonts w:ascii="Verdana" w:hAnsi="Verdana"/>
          <w:i/>
          <w:iCs/>
          <w:sz w:val="18"/>
          <w:szCs w:val="18"/>
          <w:lang w:val="nl-NL" w:eastAsia="zh-CN"/>
        </w:rPr>
        <w:t>S</w:t>
      </w:r>
      <w:r w:rsidR="00A15B58" w:rsidRPr="00A15B58">
        <w:rPr>
          <w:rFonts w:ascii="Verdana" w:hAnsi="Verdana"/>
          <w:i/>
          <w:iCs/>
          <w:sz w:val="18"/>
          <w:szCs w:val="18"/>
          <w:lang w:val="nl-NL" w:eastAsia="zh-CN"/>
        </w:rPr>
        <w:t>ubsidiariteit</w:t>
      </w:r>
    </w:p>
    <w:p w14:paraId="0F25D406" w14:textId="77777777" w:rsidR="001F1EAA" w:rsidRPr="00375B0B" w:rsidRDefault="001F1EAA" w:rsidP="001F1EAA">
      <w:pPr>
        <w:pStyle w:val="ListParagraph"/>
        <w:spacing w:line="360" w:lineRule="auto"/>
        <w:ind w:left="0"/>
        <w:rPr>
          <w:rFonts w:ascii="Verdana" w:hAnsi="Verdana"/>
          <w:iCs/>
          <w:sz w:val="18"/>
          <w:szCs w:val="18"/>
        </w:rPr>
      </w:pPr>
      <w:r w:rsidRPr="00375B0B">
        <w:rPr>
          <w:rFonts w:ascii="Verdana" w:hAnsi="Verdana"/>
          <w:iCs/>
          <w:sz w:val="18"/>
          <w:szCs w:val="18"/>
        </w:rPr>
        <w:t>Het kabinet beoordeelt de subsidiariteit van het voorstel positief. In de kaderrichtlijn</w:t>
      </w:r>
    </w:p>
    <w:p w14:paraId="3943A0A7" w14:textId="77777777" w:rsidR="001F1EAA" w:rsidRPr="00375B0B" w:rsidRDefault="001F1EAA" w:rsidP="001F1EAA">
      <w:pPr>
        <w:pStyle w:val="ListParagraph"/>
        <w:spacing w:line="360" w:lineRule="auto"/>
        <w:ind w:left="0"/>
        <w:rPr>
          <w:rFonts w:ascii="Verdana" w:hAnsi="Verdana"/>
          <w:iCs/>
          <w:sz w:val="18"/>
          <w:szCs w:val="18"/>
        </w:rPr>
      </w:pPr>
      <w:r w:rsidRPr="00375B0B">
        <w:rPr>
          <w:rFonts w:ascii="Verdana" w:hAnsi="Verdana"/>
          <w:iCs/>
          <w:sz w:val="18"/>
          <w:szCs w:val="18"/>
        </w:rPr>
        <w:t>89/391/EEG is de bescherming van veiligheid en gezondheid van werknemers op het werk geregeld. Richtlijn 2004/37/EG valt onder de werking van de kaderrichtlijn. De risico’s voor werknemers van blootstelling aan kankerverwekkende en mutagene stoffen zijn gelijk in de</w:t>
      </w:r>
    </w:p>
    <w:p w14:paraId="72770287" w14:textId="5628931F" w:rsidR="002F4952" w:rsidRPr="00375B0B" w:rsidRDefault="001F1EAA" w:rsidP="001F1EAA">
      <w:pPr>
        <w:pStyle w:val="ListParagraph"/>
        <w:spacing w:line="360" w:lineRule="auto"/>
        <w:ind w:left="0"/>
        <w:rPr>
          <w:rFonts w:ascii="Verdana" w:hAnsi="Verdana"/>
          <w:iCs/>
          <w:sz w:val="18"/>
          <w:szCs w:val="18"/>
        </w:rPr>
      </w:pPr>
      <w:r w:rsidRPr="00375B0B">
        <w:rPr>
          <w:rFonts w:ascii="Verdana" w:hAnsi="Verdana"/>
          <w:iCs/>
          <w:sz w:val="18"/>
          <w:szCs w:val="18"/>
        </w:rPr>
        <w:t xml:space="preserve">EU. Op dit moment bestaan er grote verschillen tussen de Europese lidstaten in het aantal kankerverwekkende stoffen waarvoor op nationaal niveau grenswaarden zijn vastgesteld. Ook de hoogte van de grenswaarden verschilt aanzienlijk. Daardoor verschilt het beschermingsniveau van werknemers per lidstaat. Ook het Europees speelveld voor bedrijven verschilt daardoor. Uitbreiding van het aantal stoffen met grenswaarden en </w:t>
      </w:r>
      <w:r w:rsidR="00870C18">
        <w:rPr>
          <w:rFonts w:ascii="Verdana" w:hAnsi="Verdana"/>
          <w:iCs/>
          <w:sz w:val="18"/>
          <w:szCs w:val="18"/>
        </w:rPr>
        <w:t xml:space="preserve">verdergaande </w:t>
      </w:r>
      <w:r w:rsidRPr="00375B0B">
        <w:rPr>
          <w:rFonts w:ascii="Verdana" w:hAnsi="Verdana"/>
          <w:iCs/>
          <w:sz w:val="18"/>
          <w:szCs w:val="18"/>
        </w:rPr>
        <w:t>harmonisatie wat betreft de hoogte van de grenswaarden in de Europese regelgeving is daarom noodzakelijk.</w:t>
      </w:r>
      <w:r w:rsidR="00870C18">
        <w:rPr>
          <w:rFonts w:ascii="Verdana" w:hAnsi="Verdana"/>
          <w:iCs/>
          <w:sz w:val="18"/>
          <w:szCs w:val="18"/>
        </w:rPr>
        <w:t xml:space="preserve"> Ten slotte betreft dit voorstel de wijziging van een bestaande richtlijn, dit kan enkel op EU-niveau worden geregeld.</w:t>
      </w:r>
    </w:p>
    <w:p w14:paraId="5AA8E968" w14:textId="77777777" w:rsidR="002F4952" w:rsidRDefault="002F4952" w:rsidP="002F4952">
      <w:pPr>
        <w:pStyle w:val="Spreekpunten"/>
        <w:numPr>
          <w:ilvl w:val="0"/>
          <w:numId w:val="0"/>
        </w:numPr>
        <w:ind w:left="717" w:hanging="360"/>
        <w:rPr>
          <w:rFonts w:ascii="Verdana" w:hAnsi="Verdana"/>
          <w:i/>
          <w:iCs/>
          <w:sz w:val="18"/>
          <w:szCs w:val="18"/>
          <w:lang w:val="nl-NL" w:eastAsia="zh-CN"/>
        </w:rPr>
      </w:pPr>
    </w:p>
    <w:p w14:paraId="1D0F1812" w14:textId="77777777" w:rsidR="00A15B58" w:rsidRPr="00A15B58" w:rsidRDefault="00076EDE" w:rsidP="00346A84">
      <w:pPr>
        <w:pStyle w:val="Spreekpunten"/>
        <w:numPr>
          <w:ilvl w:val="0"/>
          <w:numId w:val="7"/>
        </w:numPr>
        <w:rPr>
          <w:rFonts w:ascii="Verdana" w:hAnsi="Verdana"/>
          <w:i/>
          <w:iCs/>
          <w:sz w:val="18"/>
          <w:szCs w:val="18"/>
          <w:lang w:val="nl-NL" w:eastAsia="zh-CN"/>
        </w:rPr>
      </w:pPr>
      <w:r>
        <w:rPr>
          <w:rFonts w:ascii="Verdana" w:hAnsi="Verdana"/>
          <w:i/>
          <w:iCs/>
          <w:sz w:val="18"/>
          <w:szCs w:val="18"/>
          <w:lang w:val="nl-NL" w:eastAsia="zh-CN"/>
        </w:rPr>
        <w:t>P</w:t>
      </w:r>
      <w:r w:rsidR="00A15B58" w:rsidRPr="00A15B58">
        <w:rPr>
          <w:rFonts w:ascii="Verdana" w:hAnsi="Verdana"/>
          <w:i/>
          <w:iCs/>
          <w:sz w:val="18"/>
          <w:szCs w:val="18"/>
          <w:lang w:val="nl-NL" w:eastAsia="zh-CN"/>
        </w:rPr>
        <w:t>roportionaliteit</w:t>
      </w:r>
    </w:p>
    <w:p w14:paraId="671B237C" w14:textId="77777777" w:rsidR="001F1EAA" w:rsidRPr="00375B0B" w:rsidRDefault="001F1EAA" w:rsidP="001F1EAA">
      <w:pPr>
        <w:spacing w:line="360" w:lineRule="auto"/>
        <w:rPr>
          <w:rFonts w:ascii="Verdana" w:hAnsi="Verdana"/>
          <w:sz w:val="18"/>
          <w:szCs w:val="18"/>
        </w:rPr>
      </w:pPr>
      <w:r w:rsidRPr="00375B0B">
        <w:rPr>
          <w:rFonts w:ascii="Verdana" w:hAnsi="Verdana"/>
          <w:sz w:val="18"/>
          <w:szCs w:val="18"/>
        </w:rPr>
        <w:t>Het kabinet beoordeelt de proportionaliteit als positief. De voorgestelde maatregelen zijn geschikt om het doel van betere werkomstandigheden en minder gevallen van kanker door werk te bereiken. Bij de voorgestelde waarden zijn de sociaaleconomische haalbaarheidsfactoren in aanmerking genomen na overleg met alle belanghebbenden (werkgevers, werknemers, overheden). Lidstaten kunnen indien nodig nationaal nog strengere grenswaarden stellen.</w:t>
      </w:r>
    </w:p>
    <w:p w14:paraId="172D27B0" w14:textId="77777777" w:rsidR="001F1EAA" w:rsidRPr="00DA19A2" w:rsidRDefault="001F1EAA" w:rsidP="001F1EAA">
      <w:pPr>
        <w:spacing w:line="360" w:lineRule="auto"/>
        <w:rPr>
          <w:rFonts w:ascii="Verdana" w:hAnsi="Verdana"/>
          <w:b/>
          <w:sz w:val="18"/>
          <w:szCs w:val="18"/>
        </w:rPr>
      </w:pPr>
    </w:p>
    <w:p w14:paraId="3A584409" w14:textId="77777777" w:rsidR="00CB7FF8" w:rsidRPr="00DA19A2" w:rsidRDefault="00CB7FF8" w:rsidP="00346A84">
      <w:pPr>
        <w:numPr>
          <w:ilvl w:val="0"/>
          <w:numId w:val="3"/>
        </w:numPr>
        <w:spacing w:line="360" w:lineRule="auto"/>
        <w:rPr>
          <w:rFonts w:ascii="Verdana" w:hAnsi="Verdana"/>
          <w:b/>
          <w:sz w:val="18"/>
          <w:szCs w:val="18"/>
        </w:rPr>
      </w:pPr>
      <w:r w:rsidRPr="00DA19A2">
        <w:rPr>
          <w:rFonts w:ascii="Verdana" w:hAnsi="Verdana"/>
          <w:b/>
          <w:sz w:val="18"/>
          <w:szCs w:val="18"/>
        </w:rPr>
        <w:t>Financiële implicaties, gevolgen voor regeldruk en administratieve lasten</w:t>
      </w:r>
    </w:p>
    <w:p w14:paraId="6736D07A" w14:textId="77777777" w:rsidR="00CB7FF8" w:rsidRDefault="00CB7FF8" w:rsidP="00346A84">
      <w:pPr>
        <w:numPr>
          <w:ilvl w:val="0"/>
          <w:numId w:val="8"/>
        </w:numPr>
        <w:spacing w:line="360" w:lineRule="auto"/>
        <w:outlineLvl w:val="0"/>
        <w:rPr>
          <w:rFonts w:ascii="Verdana" w:hAnsi="Verdana"/>
          <w:bCs/>
          <w:i/>
          <w:iCs/>
          <w:sz w:val="18"/>
          <w:szCs w:val="18"/>
        </w:rPr>
      </w:pPr>
      <w:r w:rsidRPr="00DA19A2">
        <w:rPr>
          <w:rFonts w:ascii="Verdana" w:hAnsi="Verdana"/>
          <w:bCs/>
          <w:i/>
          <w:iCs/>
          <w:sz w:val="18"/>
          <w:szCs w:val="18"/>
        </w:rPr>
        <w:t>Consequenties EU-begroting</w:t>
      </w:r>
    </w:p>
    <w:p w14:paraId="3CE8D5E7" w14:textId="5E2B13CC" w:rsidR="001F1EAA" w:rsidRDefault="001F1EAA" w:rsidP="001F1EAA">
      <w:pPr>
        <w:spacing w:line="360" w:lineRule="auto"/>
        <w:outlineLvl w:val="0"/>
        <w:rPr>
          <w:rFonts w:ascii="Verdana" w:hAnsi="Verdana"/>
          <w:bCs/>
          <w:iCs/>
          <w:sz w:val="18"/>
          <w:szCs w:val="18"/>
        </w:rPr>
      </w:pPr>
      <w:r w:rsidRPr="00346A84">
        <w:rPr>
          <w:rFonts w:ascii="Verdana" w:hAnsi="Verdana"/>
          <w:bCs/>
          <w:iCs/>
          <w:sz w:val="18"/>
          <w:szCs w:val="18"/>
        </w:rPr>
        <w:t>Het voorstel heeft betrekking op maatregelen die werkgevers en lidstaten moeten nemen. Er</w:t>
      </w:r>
      <w:r w:rsidR="003144FD">
        <w:rPr>
          <w:rFonts w:ascii="Verdana" w:hAnsi="Verdana"/>
          <w:bCs/>
          <w:iCs/>
          <w:sz w:val="18"/>
          <w:szCs w:val="18"/>
        </w:rPr>
        <w:t xml:space="preserve"> </w:t>
      </w:r>
      <w:r w:rsidRPr="00346A84">
        <w:rPr>
          <w:rFonts w:ascii="Verdana" w:hAnsi="Verdana"/>
          <w:bCs/>
          <w:iCs/>
          <w:sz w:val="18"/>
          <w:szCs w:val="18"/>
        </w:rPr>
        <w:t>zijn geen consequenties voor de EU-begroting.</w:t>
      </w:r>
    </w:p>
    <w:p w14:paraId="35A35559" w14:textId="0A1C0134" w:rsidR="00E05DE3" w:rsidRDefault="00E05DE3" w:rsidP="001F1EAA">
      <w:pPr>
        <w:spacing w:line="360" w:lineRule="auto"/>
        <w:outlineLvl w:val="0"/>
        <w:rPr>
          <w:rFonts w:ascii="Verdana" w:hAnsi="Verdana"/>
          <w:bCs/>
          <w:iCs/>
          <w:sz w:val="18"/>
          <w:szCs w:val="18"/>
        </w:rPr>
      </w:pPr>
    </w:p>
    <w:p w14:paraId="052DEAD5" w14:textId="77777777" w:rsidR="00E05DE3" w:rsidRDefault="00E05DE3" w:rsidP="00E05DE3">
      <w:pPr>
        <w:spacing w:line="360" w:lineRule="auto"/>
        <w:rPr>
          <w:rFonts w:ascii="Verdana" w:hAnsi="Verdana"/>
          <w:sz w:val="18"/>
          <w:szCs w:val="18"/>
        </w:rPr>
      </w:pPr>
      <w:r>
        <w:rPr>
          <w:rFonts w:ascii="Verdana" w:hAnsi="Verdana"/>
          <w:sz w:val="18"/>
          <w:szCs w:val="18"/>
        </w:rPr>
        <w:t>Voor zover deze er wel blijken te zijn, is het kabinet van mening dat de benodigde EU-middelen gevonden dienen te worden binnen de in de Raad afgesproken financiële kaders van het MFK 2014-2020 en het MFK 2021-2027, en dat deze moeten passen bij een prudente ontwikkeling van de jaarbegroting.</w:t>
      </w:r>
    </w:p>
    <w:p w14:paraId="4B62C2E1" w14:textId="77777777" w:rsidR="001F1EAA" w:rsidRPr="00DA19A2" w:rsidRDefault="001F1EAA" w:rsidP="001F1EAA">
      <w:pPr>
        <w:spacing w:line="360" w:lineRule="auto"/>
        <w:outlineLvl w:val="0"/>
        <w:rPr>
          <w:rFonts w:ascii="Verdana" w:hAnsi="Verdana"/>
          <w:bCs/>
          <w:i/>
          <w:iCs/>
          <w:sz w:val="18"/>
          <w:szCs w:val="18"/>
        </w:rPr>
      </w:pPr>
    </w:p>
    <w:p w14:paraId="26DB01EA" w14:textId="77777777" w:rsidR="00CB7FF8" w:rsidRDefault="00CB7FF8" w:rsidP="00346A84">
      <w:pPr>
        <w:numPr>
          <w:ilvl w:val="0"/>
          <w:numId w:val="8"/>
        </w:numPr>
        <w:spacing w:line="360" w:lineRule="auto"/>
        <w:outlineLvl w:val="0"/>
        <w:rPr>
          <w:rFonts w:ascii="Verdana" w:hAnsi="Verdana"/>
          <w:bCs/>
          <w:i/>
          <w:iCs/>
          <w:sz w:val="18"/>
          <w:szCs w:val="18"/>
        </w:rPr>
      </w:pPr>
      <w:r w:rsidRPr="00DA19A2">
        <w:rPr>
          <w:rFonts w:ascii="Verdana" w:hAnsi="Verdana"/>
          <w:bCs/>
          <w:i/>
          <w:iCs/>
          <w:sz w:val="18"/>
          <w:szCs w:val="18"/>
        </w:rPr>
        <w:t>Financiële consequenties (incl. personele) voor rijksoverheid en/ of decentrale overheden</w:t>
      </w:r>
    </w:p>
    <w:p w14:paraId="3AE52F1F" w14:textId="77777777" w:rsidR="001F1EAA" w:rsidRPr="00346A84" w:rsidRDefault="001F1EAA" w:rsidP="001F1EAA">
      <w:pPr>
        <w:spacing w:line="360" w:lineRule="auto"/>
        <w:outlineLvl w:val="0"/>
        <w:rPr>
          <w:rFonts w:ascii="Verdana" w:hAnsi="Verdana"/>
          <w:bCs/>
          <w:iCs/>
          <w:sz w:val="18"/>
          <w:szCs w:val="18"/>
        </w:rPr>
      </w:pPr>
      <w:r w:rsidRPr="00346A84">
        <w:rPr>
          <w:rFonts w:ascii="Verdana" w:hAnsi="Verdana"/>
          <w:bCs/>
          <w:iCs/>
          <w:sz w:val="18"/>
          <w:szCs w:val="18"/>
        </w:rPr>
        <w:t>De financiële consequenties voor de overheid zijn naar verwachting op termijn positief. Een verbetering van de veiligheid en gezondheid van werknemers heeft een positief effect op sociale zekerheidskosten en kosten voor de gezondheidszorg (in beide gevallen dalend). Het betreft hier kosten door ziekteverzuim, arbeidsongevallen en arbeidsongeschiktheid. Baten als gezondheidswinst en verminderde kosten voor gezondheidszorg en ziekteverzuim zullen naar verwachting pas na 2040 ontstaan vanwege de lange incubatietijd bij blootstelling aan kankerverwekkende stoffen. Eventuele budgettaire gevolgen worden ingepast op de begroting van het beleidsverantwoordelijke departement, conform de regels van de budgetdiscipline.</w:t>
      </w:r>
    </w:p>
    <w:p w14:paraId="054D8C2F" w14:textId="77777777" w:rsidR="001F1EAA" w:rsidRPr="00DA19A2" w:rsidRDefault="001F1EAA" w:rsidP="001F1EAA">
      <w:pPr>
        <w:spacing w:line="360" w:lineRule="auto"/>
        <w:outlineLvl w:val="0"/>
        <w:rPr>
          <w:rFonts w:ascii="Verdana" w:hAnsi="Verdana"/>
          <w:bCs/>
          <w:i/>
          <w:iCs/>
          <w:sz w:val="18"/>
          <w:szCs w:val="18"/>
        </w:rPr>
      </w:pPr>
    </w:p>
    <w:p w14:paraId="0B07AB56" w14:textId="77777777" w:rsidR="00CB7FF8" w:rsidRDefault="00CB7FF8" w:rsidP="00346A84">
      <w:pPr>
        <w:numPr>
          <w:ilvl w:val="0"/>
          <w:numId w:val="8"/>
        </w:numPr>
        <w:spacing w:line="360" w:lineRule="auto"/>
        <w:rPr>
          <w:rFonts w:ascii="Verdana" w:hAnsi="Verdana"/>
          <w:bCs/>
          <w:i/>
          <w:iCs/>
          <w:sz w:val="18"/>
          <w:szCs w:val="18"/>
        </w:rPr>
      </w:pPr>
      <w:r w:rsidRPr="00DA19A2">
        <w:rPr>
          <w:rFonts w:ascii="Verdana" w:hAnsi="Verdana"/>
          <w:bCs/>
          <w:i/>
          <w:iCs/>
          <w:sz w:val="18"/>
          <w:szCs w:val="18"/>
        </w:rPr>
        <w:t>Financiële consequenties (incl. personele) voor bedrijfsleven en burger</w:t>
      </w:r>
    </w:p>
    <w:p w14:paraId="4044C7ED" w14:textId="737263EA" w:rsidR="00ED1F41" w:rsidRDefault="001F1EAA" w:rsidP="001F1EAA">
      <w:pPr>
        <w:spacing w:line="360" w:lineRule="auto"/>
        <w:rPr>
          <w:rFonts w:ascii="Verdana" w:hAnsi="Verdana"/>
          <w:bCs/>
          <w:iCs/>
          <w:color w:val="ED7D31"/>
          <w:sz w:val="18"/>
          <w:szCs w:val="18"/>
        </w:rPr>
      </w:pPr>
      <w:r w:rsidRPr="00ED1F41">
        <w:rPr>
          <w:rFonts w:ascii="Verdana" w:hAnsi="Verdana"/>
          <w:bCs/>
          <w:iCs/>
          <w:sz w:val="18"/>
          <w:szCs w:val="18"/>
        </w:rPr>
        <w:t>De invoering van EU brede grenswaarden heeft voordelen voor de werknemer en het bedrijfsleven. Het aantal vermijdbare gevallen van werk gerelateerde kanker en de hiermee gepaard gaande economische gevolgen zou verder kunnen worden voorkomen. In de effectbeoordeling van de Europese Commissie is aangegeven dat voor sommige carcinogene agentia de voorgestelde maatregel exploitatiekosten met zich mee zal brengen; voor ondernemingen die aanvullende beschermende en preventieve maatregelen moeten treffen.</w:t>
      </w:r>
    </w:p>
    <w:p w14:paraId="29B6A617" w14:textId="138240E0" w:rsidR="006C36D2" w:rsidRDefault="0068105B" w:rsidP="001F1EAA">
      <w:pPr>
        <w:spacing w:line="360" w:lineRule="auto"/>
        <w:rPr>
          <w:rFonts w:ascii="Verdana" w:hAnsi="Verdana"/>
          <w:bCs/>
          <w:iCs/>
          <w:sz w:val="18"/>
          <w:szCs w:val="18"/>
        </w:rPr>
      </w:pPr>
      <w:r w:rsidRPr="0068105B">
        <w:rPr>
          <w:rFonts w:ascii="Verdana" w:hAnsi="Verdana"/>
          <w:bCs/>
          <w:iCs/>
          <w:sz w:val="18"/>
          <w:szCs w:val="18"/>
        </w:rPr>
        <w:t xml:space="preserve">Bedrijven zullen investeringen moeten doen om aan de </w:t>
      </w:r>
      <w:r w:rsidR="00700BAF">
        <w:rPr>
          <w:rFonts w:ascii="Verdana" w:hAnsi="Verdana"/>
          <w:bCs/>
          <w:iCs/>
          <w:sz w:val="18"/>
          <w:szCs w:val="18"/>
        </w:rPr>
        <w:t xml:space="preserve">grenswaarden </w:t>
      </w:r>
      <w:r w:rsidRPr="0068105B">
        <w:rPr>
          <w:rFonts w:ascii="Verdana" w:hAnsi="Verdana"/>
          <w:bCs/>
          <w:iCs/>
          <w:sz w:val="18"/>
          <w:szCs w:val="18"/>
        </w:rPr>
        <w:t>te voldoen en zullen extra middelen moeten besteden om de blootstelling te monitoren, wat zal leiden tot exploitatiekosten. Deze kosten kunnen</w:t>
      </w:r>
      <w:r>
        <w:rPr>
          <w:rFonts w:ascii="Verdana" w:hAnsi="Verdana"/>
          <w:bCs/>
          <w:iCs/>
          <w:sz w:val="18"/>
          <w:szCs w:val="18"/>
        </w:rPr>
        <w:t xml:space="preserve"> volgens de Commissie</w:t>
      </w:r>
      <w:r w:rsidRPr="0068105B">
        <w:rPr>
          <w:rFonts w:ascii="Verdana" w:hAnsi="Verdana"/>
          <w:bCs/>
          <w:iCs/>
          <w:sz w:val="18"/>
          <w:szCs w:val="18"/>
        </w:rPr>
        <w:t xml:space="preserve"> in de komende 60 jaar oplopen tot </w:t>
      </w:r>
      <w:r w:rsidR="006C36D2">
        <w:rPr>
          <w:rFonts w:ascii="Verdana" w:hAnsi="Verdana"/>
          <w:bCs/>
          <w:iCs/>
          <w:sz w:val="18"/>
          <w:szCs w:val="18"/>
        </w:rPr>
        <w:t xml:space="preserve">in totaal </w:t>
      </w:r>
      <w:r w:rsidRPr="0068105B">
        <w:rPr>
          <w:rFonts w:ascii="Verdana" w:hAnsi="Verdana"/>
          <w:bCs/>
          <w:iCs/>
          <w:sz w:val="18"/>
          <w:szCs w:val="18"/>
        </w:rPr>
        <w:t>14 miljard</w:t>
      </w:r>
      <w:r w:rsidR="006C36D2">
        <w:rPr>
          <w:rFonts w:ascii="Verdana" w:hAnsi="Verdana"/>
          <w:bCs/>
          <w:iCs/>
          <w:sz w:val="18"/>
          <w:szCs w:val="18"/>
        </w:rPr>
        <w:t xml:space="preserve"> EUR.</w:t>
      </w:r>
      <w:r w:rsidR="006C36D2" w:rsidRPr="006C36D2">
        <w:rPr>
          <w:rFonts w:ascii="Verdana" w:hAnsi="Verdana"/>
          <w:bCs/>
          <w:iCs/>
          <w:sz w:val="18"/>
          <w:szCs w:val="18"/>
        </w:rPr>
        <w:t xml:space="preserve"> </w:t>
      </w:r>
      <w:r w:rsidR="006C36D2">
        <w:rPr>
          <w:rFonts w:ascii="Verdana" w:hAnsi="Verdana"/>
          <w:bCs/>
          <w:iCs/>
          <w:sz w:val="18"/>
          <w:szCs w:val="18"/>
        </w:rPr>
        <w:t>V</w:t>
      </w:r>
      <w:r w:rsidRPr="0068105B">
        <w:rPr>
          <w:rFonts w:ascii="Verdana" w:hAnsi="Verdana"/>
          <w:bCs/>
          <w:iCs/>
          <w:sz w:val="18"/>
          <w:szCs w:val="18"/>
        </w:rPr>
        <w:t xml:space="preserve">olgens de Europese Commissie </w:t>
      </w:r>
      <w:r w:rsidR="006C36D2">
        <w:rPr>
          <w:rFonts w:ascii="Verdana" w:hAnsi="Verdana"/>
          <w:bCs/>
          <w:iCs/>
          <w:sz w:val="18"/>
          <w:szCs w:val="18"/>
        </w:rPr>
        <w:t xml:space="preserve">zijn de kosten </w:t>
      </w:r>
      <w:r w:rsidRPr="0068105B">
        <w:rPr>
          <w:rFonts w:ascii="Verdana" w:hAnsi="Verdana"/>
          <w:bCs/>
          <w:iCs/>
          <w:sz w:val="18"/>
          <w:szCs w:val="18"/>
        </w:rPr>
        <w:t>voor de meest</w:t>
      </w:r>
      <w:r w:rsidR="006C36D2">
        <w:rPr>
          <w:rFonts w:ascii="Verdana" w:hAnsi="Verdana"/>
          <w:bCs/>
          <w:iCs/>
          <w:sz w:val="18"/>
          <w:szCs w:val="18"/>
        </w:rPr>
        <w:t xml:space="preserve">e bedrijven houdbaar in vergelijking met hun omzet. </w:t>
      </w:r>
      <w:r w:rsidRPr="0068105B">
        <w:rPr>
          <w:rFonts w:ascii="Verdana" w:hAnsi="Verdana"/>
          <w:bCs/>
          <w:iCs/>
          <w:sz w:val="18"/>
          <w:szCs w:val="18"/>
        </w:rPr>
        <w:t>Bovendien zijn overgangsmaatregelen</w:t>
      </w:r>
      <w:r w:rsidR="00A53E5A">
        <w:rPr>
          <w:rFonts w:ascii="Verdana" w:hAnsi="Verdana"/>
          <w:bCs/>
          <w:iCs/>
          <w:sz w:val="18"/>
          <w:szCs w:val="18"/>
        </w:rPr>
        <w:t xml:space="preserve"> (overgangsperioden)</w:t>
      </w:r>
      <w:r w:rsidRPr="0068105B">
        <w:rPr>
          <w:rFonts w:ascii="Verdana" w:hAnsi="Verdana"/>
          <w:bCs/>
          <w:iCs/>
          <w:sz w:val="18"/>
          <w:szCs w:val="18"/>
        </w:rPr>
        <w:t xml:space="preserve"> opgenomen om de uitdagingen voor de werkgevers te beperken maar ook om banenverlies te voorkomen.</w:t>
      </w:r>
      <w:r>
        <w:rPr>
          <w:rFonts w:ascii="Verdana" w:hAnsi="Verdana"/>
          <w:bCs/>
          <w:iCs/>
          <w:sz w:val="18"/>
          <w:szCs w:val="18"/>
        </w:rPr>
        <w:t xml:space="preserve"> </w:t>
      </w:r>
    </w:p>
    <w:p w14:paraId="5F0E95C6" w14:textId="77777777" w:rsidR="00ED1F41" w:rsidRDefault="0068105B" w:rsidP="001F1EAA">
      <w:pPr>
        <w:spacing w:line="360" w:lineRule="auto"/>
        <w:rPr>
          <w:rFonts w:ascii="Verdana" w:hAnsi="Verdana"/>
          <w:bCs/>
          <w:iCs/>
          <w:sz w:val="18"/>
          <w:szCs w:val="18"/>
        </w:rPr>
      </w:pPr>
      <w:r>
        <w:rPr>
          <w:rFonts w:ascii="Verdana" w:hAnsi="Verdana"/>
          <w:bCs/>
          <w:iCs/>
          <w:sz w:val="18"/>
          <w:szCs w:val="18"/>
        </w:rPr>
        <w:t xml:space="preserve">Er staan ook (beperkte) </w:t>
      </w:r>
      <w:r w:rsidR="00A53E5A">
        <w:rPr>
          <w:rFonts w:ascii="Verdana" w:hAnsi="Verdana"/>
          <w:bCs/>
          <w:iCs/>
          <w:sz w:val="18"/>
          <w:szCs w:val="18"/>
        </w:rPr>
        <w:t>financiële</w:t>
      </w:r>
      <w:r>
        <w:rPr>
          <w:rFonts w:ascii="Verdana" w:hAnsi="Verdana"/>
          <w:bCs/>
          <w:iCs/>
          <w:sz w:val="18"/>
          <w:szCs w:val="18"/>
        </w:rPr>
        <w:t xml:space="preserve"> voordelen tegenover voor bedrijven als gevolg van minder kosten voor ziekteverzuim, productiviteitsverlies </w:t>
      </w:r>
      <w:r w:rsidR="003144FD">
        <w:rPr>
          <w:rFonts w:ascii="Verdana" w:hAnsi="Verdana"/>
          <w:bCs/>
          <w:iCs/>
          <w:sz w:val="18"/>
          <w:szCs w:val="18"/>
        </w:rPr>
        <w:t>etc.</w:t>
      </w:r>
      <w:r>
        <w:rPr>
          <w:rFonts w:ascii="Verdana" w:hAnsi="Verdana"/>
          <w:bCs/>
          <w:iCs/>
          <w:sz w:val="18"/>
          <w:szCs w:val="18"/>
        </w:rPr>
        <w:t xml:space="preserve"> van 7 miljoen, exclusief besparing als gevolg van de juridische zekerheid die de grenswaarden geven.</w:t>
      </w:r>
    </w:p>
    <w:p w14:paraId="4D94A977" w14:textId="77777777" w:rsidR="006C36D2" w:rsidRDefault="006C36D2" w:rsidP="001F1EAA">
      <w:pPr>
        <w:spacing w:line="360" w:lineRule="auto"/>
        <w:rPr>
          <w:rFonts w:ascii="Verdana" w:hAnsi="Verdana"/>
          <w:bCs/>
          <w:iCs/>
          <w:sz w:val="18"/>
          <w:szCs w:val="18"/>
        </w:rPr>
      </w:pPr>
    </w:p>
    <w:p w14:paraId="0079D5A0" w14:textId="77777777" w:rsidR="00700BAF" w:rsidRDefault="006C36D2" w:rsidP="001F1EAA">
      <w:pPr>
        <w:spacing w:line="360" w:lineRule="auto"/>
        <w:rPr>
          <w:rFonts w:ascii="Verdana" w:hAnsi="Verdana"/>
          <w:bCs/>
          <w:iCs/>
          <w:sz w:val="18"/>
          <w:szCs w:val="18"/>
        </w:rPr>
      </w:pPr>
      <w:r w:rsidRPr="006C36D2">
        <w:rPr>
          <w:rFonts w:ascii="Verdana" w:hAnsi="Verdana"/>
          <w:bCs/>
          <w:iCs/>
          <w:sz w:val="18"/>
          <w:szCs w:val="18"/>
        </w:rPr>
        <w:t>De kosten komen met name terecht bij bedrijven waar blootstelling aan nikkel</w:t>
      </w:r>
      <w:r w:rsidR="00C96210">
        <w:rPr>
          <w:rFonts w:ascii="Verdana" w:hAnsi="Verdana"/>
          <w:bCs/>
          <w:iCs/>
          <w:sz w:val="18"/>
          <w:szCs w:val="18"/>
        </w:rPr>
        <w:t>verbindingen</w:t>
      </w:r>
      <w:r w:rsidRPr="006C36D2">
        <w:rPr>
          <w:rFonts w:ascii="Verdana" w:hAnsi="Verdana"/>
          <w:bCs/>
          <w:iCs/>
          <w:sz w:val="18"/>
          <w:szCs w:val="18"/>
        </w:rPr>
        <w:t xml:space="preserve"> en benzeen een rol kan spelen</w:t>
      </w:r>
      <w:r w:rsidR="000C6C96">
        <w:rPr>
          <w:rFonts w:ascii="Verdana" w:hAnsi="Verdana"/>
          <w:bCs/>
          <w:iCs/>
          <w:sz w:val="18"/>
          <w:szCs w:val="18"/>
        </w:rPr>
        <w:t>.</w:t>
      </w:r>
      <w:r>
        <w:rPr>
          <w:rFonts w:ascii="Verdana" w:hAnsi="Verdana"/>
          <w:bCs/>
          <w:iCs/>
          <w:sz w:val="18"/>
          <w:szCs w:val="18"/>
        </w:rPr>
        <w:t xml:space="preserve"> </w:t>
      </w:r>
    </w:p>
    <w:p w14:paraId="1A8DBCA5" w14:textId="77777777" w:rsidR="00700BAF" w:rsidRDefault="006C36D2" w:rsidP="001F1EAA">
      <w:pPr>
        <w:spacing w:line="360" w:lineRule="auto"/>
        <w:rPr>
          <w:rFonts w:ascii="Verdana" w:hAnsi="Verdana"/>
          <w:bCs/>
          <w:iCs/>
          <w:sz w:val="18"/>
          <w:szCs w:val="18"/>
        </w:rPr>
      </w:pPr>
      <w:r>
        <w:rPr>
          <w:rFonts w:ascii="Verdana" w:hAnsi="Verdana"/>
          <w:bCs/>
          <w:iCs/>
          <w:sz w:val="18"/>
          <w:szCs w:val="18"/>
        </w:rPr>
        <w:t xml:space="preserve">Voor benzeen zou het gaan om </w:t>
      </w:r>
      <w:r w:rsidR="00700BAF">
        <w:rPr>
          <w:rFonts w:ascii="Verdana" w:hAnsi="Verdana"/>
          <w:bCs/>
          <w:iCs/>
          <w:sz w:val="18"/>
          <w:szCs w:val="18"/>
        </w:rPr>
        <w:t xml:space="preserve">0,02 % tot maximaal </w:t>
      </w:r>
      <w:r>
        <w:rPr>
          <w:rFonts w:ascii="Verdana" w:hAnsi="Verdana"/>
          <w:bCs/>
          <w:iCs/>
          <w:sz w:val="18"/>
          <w:szCs w:val="18"/>
        </w:rPr>
        <w:t xml:space="preserve">0,07% </w:t>
      </w:r>
      <w:r w:rsidR="00700BAF">
        <w:rPr>
          <w:rFonts w:ascii="Verdana" w:hAnsi="Verdana"/>
          <w:bCs/>
          <w:iCs/>
          <w:sz w:val="18"/>
          <w:szCs w:val="18"/>
        </w:rPr>
        <w:t xml:space="preserve">van de omzet </w:t>
      </w:r>
      <w:r>
        <w:rPr>
          <w:rFonts w:ascii="Verdana" w:hAnsi="Verdana"/>
          <w:bCs/>
          <w:iCs/>
          <w:sz w:val="18"/>
          <w:szCs w:val="18"/>
        </w:rPr>
        <w:t xml:space="preserve">per jaar. </w:t>
      </w:r>
    </w:p>
    <w:p w14:paraId="5B362095" w14:textId="0E32F699" w:rsidR="006C36D2" w:rsidRDefault="006C36D2" w:rsidP="001F1EAA">
      <w:pPr>
        <w:spacing w:line="360" w:lineRule="auto"/>
        <w:rPr>
          <w:rFonts w:ascii="Verdana" w:hAnsi="Verdana"/>
          <w:bCs/>
          <w:iCs/>
          <w:sz w:val="18"/>
          <w:szCs w:val="18"/>
        </w:rPr>
      </w:pPr>
      <w:r>
        <w:rPr>
          <w:rFonts w:ascii="Verdana" w:hAnsi="Verdana"/>
          <w:bCs/>
          <w:iCs/>
          <w:sz w:val="18"/>
          <w:szCs w:val="18"/>
        </w:rPr>
        <w:t>Voor nikkel</w:t>
      </w:r>
      <w:r w:rsidR="00C96210">
        <w:rPr>
          <w:rFonts w:ascii="Verdana" w:hAnsi="Verdana"/>
          <w:bCs/>
          <w:iCs/>
          <w:sz w:val="18"/>
          <w:szCs w:val="18"/>
        </w:rPr>
        <w:t>verbindingen</w:t>
      </w:r>
      <w:r>
        <w:rPr>
          <w:rFonts w:ascii="Verdana" w:hAnsi="Verdana"/>
          <w:bCs/>
          <w:iCs/>
          <w:sz w:val="18"/>
          <w:szCs w:val="18"/>
        </w:rPr>
        <w:t xml:space="preserve"> om 108.000,- per bedrijf, berekend over</w:t>
      </w:r>
      <w:r w:rsidR="00FA3278">
        <w:rPr>
          <w:rFonts w:ascii="Verdana" w:hAnsi="Verdana"/>
          <w:bCs/>
          <w:iCs/>
          <w:sz w:val="18"/>
          <w:szCs w:val="18"/>
        </w:rPr>
        <w:t xml:space="preserve"> 60 jaar. Dit zijn voornamelijk </w:t>
      </w:r>
      <w:r w:rsidR="003144FD">
        <w:rPr>
          <w:rFonts w:ascii="Verdana" w:hAnsi="Verdana"/>
          <w:bCs/>
          <w:iCs/>
          <w:sz w:val="18"/>
          <w:szCs w:val="18"/>
        </w:rPr>
        <w:t>MKB-bedrijven</w:t>
      </w:r>
      <w:r w:rsidR="00FA3278">
        <w:rPr>
          <w:rFonts w:ascii="Verdana" w:hAnsi="Verdana"/>
          <w:bCs/>
          <w:iCs/>
          <w:sz w:val="18"/>
          <w:szCs w:val="18"/>
        </w:rPr>
        <w:t>. De Commissie verwacht dat voor 46 (</w:t>
      </w:r>
      <w:r w:rsidR="003144FD">
        <w:rPr>
          <w:rFonts w:ascii="Verdana" w:hAnsi="Verdana"/>
          <w:bCs/>
          <w:iCs/>
          <w:sz w:val="18"/>
          <w:szCs w:val="18"/>
        </w:rPr>
        <w:t>MKB</w:t>
      </w:r>
      <w:r w:rsidR="00FA3278">
        <w:rPr>
          <w:rFonts w:ascii="Verdana" w:hAnsi="Verdana"/>
          <w:bCs/>
          <w:iCs/>
          <w:sz w:val="18"/>
          <w:szCs w:val="18"/>
        </w:rPr>
        <w:t xml:space="preserve">) bedrijven (van ruim 62.000 bedrijven) in de EU, de maatregel zou kunnen leiden tot sluiting van het bedrijf. </w:t>
      </w:r>
      <w:r w:rsidR="00050ACC">
        <w:rPr>
          <w:rFonts w:ascii="Verdana" w:hAnsi="Verdana"/>
          <w:bCs/>
          <w:iCs/>
          <w:sz w:val="18"/>
          <w:szCs w:val="18"/>
        </w:rPr>
        <w:t>Voor</w:t>
      </w:r>
      <w:r>
        <w:rPr>
          <w:rFonts w:ascii="Verdana" w:hAnsi="Verdana"/>
          <w:bCs/>
          <w:iCs/>
          <w:sz w:val="18"/>
          <w:szCs w:val="18"/>
        </w:rPr>
        <w:t xml:space="preserve"> veel bedrijven die de blootstelling aan nikkel</w:t>
      </w:r>
      <w:r w:rsidR="00C96210">
        <w:rPr>
          <w:rFonts w:ascii="Verdana" w:hAnsi="Verdana"/>
          <w:bCs/>
          <w:iCs/>
          <w:sz w:val="18"/>
          <w:szCs w:val="18"/>
        </w:rPr>
        <w:t>verbindingen</w:t>
      </w:r>
      <w:r>
        <w:rPr>
          <w:rFonts w:ascii="Verdana" w:hAnsi="Verdana"/>
          <w:bCs/>
          <w:iCs/>
          <w:sz w:val="18"/>
          <w:szCs w:val="18"/>
        </w:rPr>
        <w:t xml:space="preserve"> terug zullen moeten brengen geldt dat zij dit ook al zullen doen als gevolg van de normering (grenswaarde) van chroom</w:t>
      </w:r>
      <w:r w:rsidR="004263A8">
        <w:rPr>
          <w:rFonts w:ascii="Verdana" w:hAnsi="Verdana"/>
          <w:bCs/>
          <w:iCs/>
          <w:sz w:val="18"/>
          <w:szCs w:val="18"/>
        </w:rPr>
        <w:t xml:space="preserve"> </w:t>
      </w:r>
      <w:r>
        <w:rPr>
          <w:rFonts w:ascii="Verdana" w:hAnsi="Verdana"/>
          <w:bCs/>
          <w:iCs/>
          <w:sz w:val="18"/>
          <w:szCs w:val="18"/>
        </w:rPr>
        <w:t>6: de stoffen komen vaak voor in dezelfde sectoren en zelfs dezelfde bedrijven en processen. Daarom is de overgangstermijn voor de grenswaarde van nikkel afgestemd op die van chroom 6.</w:t>
      </w:r>
    </w:p>
    <w:p w14:paraId="468CD29D" w14:textId="77777777" w:rsidR="001A21E9" w:rsidRDefault="001A21E9" w:rsidP="001A21E9">
      <w:pPr>
        <w:spacing w:line="360" w:lineRule="auto"/>
        <w:rPr>
          <w:rFonts w:ascii="Verdana" w:hAnsi="Verdana"/>
          <w:bCs/>
          <w:iCs/>
          <w:sz w:val="18"/>
          <w:szCs w:val="18"/>
        </w:rPr>
      </w:pPr>
    </w:p>
    <w:p w14:paraId="294C3DFE" w14:textId="1DF57BD8" w:rsidR="00700BAF" w:rsidRDefault="006B0B10" w:rsidP="001A21E9">
      <w:pPr>
        <w:spacing w:line="360" w:lineRule="auto"/>
        <w:rPr>
          <w:rFonts w:ascii="Verdana" w:hAnsi="Verdana"/>
          <w:bCs/>
          <w:iCs/>
          <w:sz w:val="18"/>
          <w:szCs w:val="18"/>
        </w:rPr>
      </w:pPr>
      <w:r w:rsidRPr="006B0B10">
        <w:rPr>
          <w:rFonts w:ascii="Verdana" w:hAnsi="Verdana"/>
          <w:bCs/>
          <w:iCs/>
          <w:sz w:val="18"/>
          <w:szCs w:val="18"/>
        </w:rPr>
        <w:t xml:space="preserve">De kosten van </w:t>
      </w:r>
      <w:r w:rsidR="00700BAF">
        <w:rPr>
          <w:rFonts w:ascii="Verdana" w:hAnsi="Verdana"/>
          <w:bCs/>
          <w:iCs/>
          <w:sz w:val="18"/>
          <w:szCs w:val="18"/>
        </w:rPr>
        <w:t xml:space="preserve">het voldoen aan de grenswaarde voor </w:t>
      </w:r>
      <w:r w:rsidRPr="006B0B10">
        <w:rPr>
          <w:rFonts w:ascii="Verdana" w:hAnsi="Verdana"/>
          <w:bCs/>
          <w:iCs/>
          <w:sz w:val="18"/>
          <w:szCs w:val="18"/>
        </w:rPr>
        <w:t xml:space="preserve">benzeen zullen niet bij het </w:t>
      </w:r>
      <w:r w:rsidR="001A21E9" w:rsidRPr="006B0B10">
        <w:rPr>
          <w:rFonts w:ascii="Verdana" w:hAnsi="Verdana"/>
          <w:bCs/>
          <w:iCs/>
          <w:sz w:val="18"/>
          <w:szCs w:val="18"/>
        </w:rPr>
        <w:t>Nederlands bedrijfsleven neerslaan, omdat</w:t>
      </w:r>
      <w:r>
        <w:rPr>
          <w:rFonts w:ascii="Verdana" w:hAnsi="Verdana"/>
          <w:bCs/>
          <w:iCs/>
          <w:sz w:val="18"/>
          <w:szCs w:val="18"/>
        </w:rPr>
        <w:t xml:space="preserve"> Nederland</w:t>
      </w:r>
      <w:r w:rsidRPr="006B0B10">
        <w:rPr>
          <w:rFonts w:ascii="Verdana" w:hAnsi="Verdana"/>
          <w:bCs/>
          <w:iCs/>
          <w:sz w:val="18"/>
          <w:szCs w:val="18"/>
        </w:rPr>
        <w:t xml:space="preserve"> al e</w:t>
      </w:r>
      <w:r>
        <w:rPr>
          <w:rFonts w:ascii="Verdana" w:hAnsi="Verdana"/>
          <w:bCs/>
          <w:iCs/>
          <w:sz w:val="18"/>
          <w:szCs w:val="18"/>
        </w:rPr>
        <w:t>en</w:t>
      </w:r>
      <w:r w:rsidRPr="006B0B10">
        <w:rPr>
          <w:rFonts w:ascii="Verdana" w:hAnsi="Verdana"/>
          <w:bCs/>
          <w:iCs/>
          <w:sz w:val="18"/>
          <w:szCs w:val="18"/>
        </w:rPr>
        <w:t xml:space="preserve"> grenswaarde heeft die vrijwel gelijk is aan de voorgestelde waarde, waar de Nederlandse bedrijven zich </w:t>
      </w:r>
      <w:r w:rsidR="00700BAF">
        <w:rPr>
          <w:rFonts w:ascii="Verdana" w:hAnsi="Verdana"/>
          <w:bCs/>
          <w:iCs/>
          <w:sz w:val="18"/>
          <w:szCs w:val="18"/>
        </w:rPr>
        <w:t xml:space="preserve">al </w:t>
      </w:r>
      <w:r w:rsidRPr="006B0B10">
        <w:rPr>
          <w:rFonts w:ascii="Verdana" w:hAnsi="Verdana"/>
          <w:bCs/>
          <w:iCs/>
          <w:sz w:val="18"/>
          <w:szCs w:val="18"/>
        </w:rPr>
        <w:t>a</w:t>
      </w:r>
      <w:r>
        <w:rPr>
          <w:rFonts w:ascii="Verdana" w:hAnsi="Verdana"/>
          <w:bCs/>
          <w:iCs/>
          <w:sz w:val="18"/>
          <w:szCs w:val="18"/>
        </w:rPr>
        <w:t xml:space="preserve">an </w:t>
      </w:r>
      <w:r w:rsidRPr="006B0B10">
        <w:rPr>
          <w:rFonts w:ascii="Verdana" w:hAnsi="Verdana"/>
          <w:bCs/>
          <w:iCs/>
          <w:sz w:val="18"/>
          <w:szCs w:val="18"/>
        </w:rPr>
        <w:t>moeten houden. Voor benzeen geldt dus dat het</w:t>
      </w:r>
      <w:r>
        <w:rPr>
          <w:rFonts w:ascii="Verdana" w:hAnsi="Verdana"/>
          <w:bCs/>
          <w:iCs/>
          <w:sz w:val="18"/>
          <w:szCs w:val="18"/>
        </w:rPr>
        <w:t xml:space="preserve"> Nederlandse</w:t>
      </w:r>
      <w:r w:rsidRPr="006B0B10">
        <w:rPr>
          <w:rFonts w:ascii="Verdana" w:hAnsi="Verdana"/>
          <w:bCs/>
          <w:iCs/>
          <w:sz w:val="18"/>
          <w:szCs w:val="18"/>
        </w:rPr>
        <w:t xml:space="preserve"> bedrijfsleven door het voorstel een </w:t>
      </w:r>
      <w:r>
        <w:rPr>
          <w:rFonts w:ascii="Verdana" w:hAnsi="Verdana"/>
          <w:bCs/>
          <w:iCs/>
          <w:sz w:val="18"/>
          <w:szCs w:val="18"/>
        </w:rPr>
        <w:t>betere concurrentiepositie zal kr</w:t>
      </w:r>
      <w:r w:rsidRPr="006B0B10">
        <w:rPr>
          <w:rFonts w:ascii="Verdana" w:hAnsi="Verdana"/>
          <w:bCs/>
          <w:iCs/>
          <w:sz w:val="18"/>
          <w:szCs w:val="18"/>
        </w:rPr>
        <w:t xml:space="preserve">ijgen </w:t>
      </w:r>
      <w:r>
        <w:rPr>
          <w:rFonts w:ascii="Verdana" w:hAnsi="Verdana"/>
          <w:bCs/>
          <w:iCs/>
          <w:sz w:val="18"/>
          <w:szCs w:val="18"/>
        </w:rPr>
        <w:t>t.o.v.</w:t>
      </w:r>
      <w:r w:rsidRPr="006B0B10">
        <w:rPr>
          <w:rFonts w:ascii="Verdana" w:hAnsi="Verdana"/>
          <w:bCs/>
          <w:iCs/>
          <w:sz w:val="18"/>
          <w:szCs w:val="18"/>
        </w:rPr>
        <w:t xml:space="preserve"> de bedrijven in d</w:t>
      </w:r>
      <w:r>
        <w:rPr>
          <w:rFonts w:ascii="Verdana" w:hAnsi="Verdana"/>
          <w:bCs/>
          <w:iCs/>
          <w:sz w:val="18"/>
          <w:szCs w:val="18"/>
        </w:rPr>
        <w:t xml:space="preserve">e overige </w:t>
      </w:r>
      <w:r w:rsidRPr="006B0B10">
        <w:rPr>
          <w:rFonts w:ascii="Verdana" w:hAnsi="Verdana"/>
          <w:bCs/>
          <w:iCs/>
          <w:sz w:val="18"/>
          <w:szCs w:val="18"/>
        </w:rPr>
        <w:t>lidstaten.</w:t>
      </w:r>
      <w:r w:rsidR="001A21E9" w:rsidRPr="006B0B10">
        <w:rPr>
          <w:rFonts w:ascii="Verdana" w:hAnsi="Verdana"/>
          <w:bCs/>
          <w:iCs/>
          <w:sz w:val="18"/>
          <w:szCs w:val="18"/>
        </w:rPr>
        <w:t xml:space="preserve"> </w:t>
      </w:r>
    </w:p>
    <w:p w14:paraId="2378ACC0" w14:textId="15884D96" w:rsidR="006B0B10" w:rsidRPr="006B0B10" w:rsidRDefault="000C6C96" w:rsidP="001A21E9">
      <w:pPr>
        <w:spacing w:line="360" w:lineRule="auto"/>
        <w:rPr>
          <w:rFonts w:ascii="Verdana" w:hAnsi="Verdana"/>
          <w:bCs/>
          <w:iCs/>
          <w:sz w:val="18"/>
          <w:szCs w:val="18"/>
        </w:rPr>
      </w:pPr>
      <w:r>
        <w:rPr>
          <w:rFonts w:ascii="Verdana" w:hAnsi="Verdana"/>
          <w:bCs/>
          <w:iCs/>
          <w:sz w:val="18"/>
          <w:szCs w:val="18"/>
        </w:rPr>
        <w:t>Ook voor nikkel</w:t>
      </w:r>
      <w:r w:rsidR="00C96210">
        <w:rPr>
          <w:rFonts w:ascii="Verdana" w:hAnsi="Verdana"/>
          <w:bCs/>
          <w:iCs/>
          <w:sz w:val="18"/>
          <w:szCs w:val="18"/>
        </w:rPr>
        <w:t>verbindingen</w:t>
      </w:r>
      <w:r>
        <w:rPr>
          <w:rFonts w:ascii="Verdana" w:hAnsi="Verdana"/>
          <w:bCs/>
          <w:iCs/>
          <w:sz w:val="18"/>
          <w:szCs w:val="18"/>
        </w:rPr>
        <w:t xml:space="preserve"> </w:t>
      </w:r>
      <w:r w:rsidR="00FA3278">
        <w:rPr>
          <w:rFonts w:ascii="Verdana" w:hAnsi="Verdana"/>
          <w:bCs/>
          <w:iCs/>
          <w:sz w:val="18"/>
          <w:szCs w:val="18"/>
        </w:rPr>
        <w:t xml:space="preserve">zullen </w:t>
      </w:r>
      <w:r>
        <w:rPr>
          <w:rFonts w:ascii="Verdana" w:hAnsi="Verdana"/>
          <w:bCs/>
          <w:iCs/>
          <w:sz w:val="18"/>
          <w:szCs w:val="18"/>
        </w:rPr>
        <w:t xml:space="preserve">de kosten voor Nederlandse bedrijven </w:t>
      </w:r>
      <w:r w:rsidR="00FA3278">
        <w:rPr>
          <w:rFonts w:ascii="Verdana" w:hAnsi="Verdana"/>
          <w:bCs/>
          <w:iCs/>
          <w:sz w:val="18"/>
          <w:szCs w:val="18"/>
        </w:rPr>
        <w:t xml:space="preserve">waarschijnlijk </w:t>
      </w:r>
      <w:r>
        <w:rPr>
          <w:rFonts w:ascii="Verdana" w:hAnsi="Verdana"/>
          <w:bCs/>
          <w:iCs/>
          <w:sz w:val="18"/>
          <w:szCs w:val="18"/>
        </w:rPr>
        <w:t>meevallen; in ieder ge</w:t>
      </w:r>
      <w:r w:rsidR="00700BAF">
        <w:rPr>
          <w:rFonts w:ascii="Verdana" w:hAnsi="Verdana"/>
          <w:bCs/>
          <w:iCs/>
          <w:sz w:val="18"/>
          <w:szCs w:val="18"/>
        </w:rPr>
        <w:t xml:space="preserve">val in die bedrijven waar </w:t>
      </w:r>
      <w:r>
        <w:rPr>
          <w:rFonts w:ascii="Verdana" w:hAnsi="Verdana"/>
          <w:bCs/>
          <w:iCs/>
          <w:sz w:val="18"/>
          <w:szCs w:val="18"/>
        </w:rPr>
        <w:t xml:space="preserve">blootstelling </w:t>
      </w:r>
      <w:r w:rsidR="00C96210">
        <w:rPr>
          <w:rFonts w:ascii="Verdana" w:hAnsi="Verdana"/>
          <w:bCs/>
          <w:iCs/>
          <w:sz w:val="18"/>
          <w:szCs w:val="18"/>
        </w:rPr>
        <w:t xml:space="preserve">aan nikkelverbindingen </w:t>
      </w:r>
      <w:r>
        <w:rPr>
          <w:rFonts w:ascii="Verdana" w:hAnsi="Verdana"/>
          <w:bCs/>
          <w:iCs/>
          <w:sz w:val="18"/>
          <w:szCs w:val="18"/>
        </w:rPr>
        <w:t>op zou kunnen treden bij dezelfde processen als chroom 6. Dit omdat de Nederlandse grenswaarde voor chroom 6 ook al op een laag (streng) niveau ligt, en de blootstelling bij die processen dus al beheerst moet zijn.</w:t>
      </w:r>
      <w:r w:rsidR="009C3177">
        <w:rPr>
          <w:rFonts w:ascii="Verdana" w:hAnsi="Verdana"/>
          <w:bCs/>
          <w:iCs/>
          <w:sz w:val="18"/>
          <w:szCs w:val="18"/>
        </w:rPr>
        <w:t xml:space="preserve"> D</w:t>
      </w:r>
      <w:r w:rsidR="00402FDF">
        <w:rPr>
          <w:rFonts w:ascii="Verdana" w:hAnsi="Verdana"/>
          <w:bCs/>
          <w:iCs/>
          <w:sz w:val="18"/>
          <w:szCs w:val="18"/>
        </w:rPr>
        <w:t>aarnaast wordt in REACH-</w:t>
      </w:r>
      <w:r w:rsidR="0084348B">
        <w:rPr>
          <w:rFonts w:ascii="Verdana" w:hAnsi="Verdana"/>
          <w:bCs/>
          <w:iCs/>
          <w:sz w:val="18"/>
          <w:szCs w:val="18"/>
        </w:rPr>
        <w:t>k</w:t>
      </w:r>
      <w:r w:rsidR="009C3177">
        <w:rPr>
          <w:rFonts w:ascii="Verdana" w:hAnsi="Verdana"/>
          <w:bCs/>
          <w:iCs/>
          <w:sz w:val="18"/>
          <w:szCs w:val="18"/>
        </w:rPr>
        <w:t>ader door registranten voor wer</w:t>
      </w:r>
      <w:r w:rsidR="00700BAF">
        <w:rPr>
          <w:rFonts w:ascii="Verdana" w:hAnsi="Verdana"/>
          <w:bCs/>
          <w:iCs/>
          <w:sz w:val="18"/>
          <w:szCs w:val="18"/>
        </w:rPr>
        <w:t>knemers vaak ook een DNEL (= REACH</w:t>
      </w:r>
      <w:r w:rsidR="009C3177">
        <w:rPr>
          <w:rFonts w:ascii="Verdana" w:hAnsi="Verdana"/>
          <w:bCs/>
          <w:iCs/>
          <w:sz w:val="18"/>
          <w:szCs w:val="18"/>
        </w:rPr>
        <w:t xml:space="preserve"> “grenswaarde” voor veilig gebruik zoals voorgeschreven in registratiedossiers door </w:t>
      </w:r>
      <w:r w:rsidR="008F31C1">
        <w:rPr>
          <w:rFonts w:ascii="Verdana" w:hAnsi="Verdana"/>
          <w:bCs/>
          <w:iCs/>
          <w:sz w:val="18"/>
          <w:szCs w:val="18"/>
        </w:rPr>
        <w:t>producenten/</w:t>
      </w:r>
      <w:r w:rsidR="009C3177">
        <w:rPr>
          <w:rFonts w:ascii="Verdana" w:hAnsi="Verdana"/>
          <w:bCs/>
          <w:iCs/>
          <w:sz w:val="18"/>
          <w:szCs w:val="18"/>
        </w:rPr>
        <w:t>leveranciers) voorgeschreven ter hoogte van de door de Commissie in het huidige voorstel beschreven grenswaarde.</w:t>
      </w:r>
    </w:p>
    <w:p w14:paraId="678801D0" w14:textId="77777777" w:rsidR="001A21E9" w:rsidRDefault="001A21E9" w:rsidP="001F1EAA">
      <w:pPr>
        <w:spacing w:line="360" w:lineRule="auto"/>
        <w:rPr>
          <w:rFonts w:ascii="Verdana" w:hAnsi="Verdana"/>
          <w:bCs/>
          <w:iCs/>
          <w:sz w:val="18"/>
          <w:szCs w:val="18"/>
        </w:rPr>
      </w:pPr>
    </w:p>
    <w:p w14:paraId="67BA6E03" w14:textId="005299CE" w:rsidR="001F1EAA" w:rsidRPr="005401BF" w:rsidRDefault="00A53E5A" w:rsidP="001F1EAA">
      <w:pPr>
        <w:spacing w:line="360" w:lineRule="auto"/>
        <w:rPr>
          <w:rFonts w:ascii="Verdana" w:hAnsi="Verdana"/>
          <w:bCs/>
          <w:iCs/>
          <w:sz w:val="18"/>
          <w:szCs w:val="18"/>
        </w:rPr>
      </w:pPr>
      <w:r w:rsidRPr="00346A84">
        <w:rPr>
          <w:rFonts w:ascii="Verdana" w:hAnsi="Verdana"/>
          <w:bCs/>
          <w:iCs/>
          <w:sz w:val="18"/>
          <w:szCs w:val="18"/>
        </w:rPr>
        <w:t xml:space="preserve">Er zijn geen </w:t>
      </w:r>
      <w:r>
        <w:rPr>
          <w:rFonts w:ascii="Verdana" w:hAnsi="Verdana"/>
          <w:bCs/>
          <w:iCs/>
          <w:sz w:val="18"/>
          <w:szCs w:val="18"/>
        </w:rPr>
        <w:t xml:space="preserve">directe </w:t>
      </w:r>
      <w:r w:rsidRPr="00346A84">
        <w:rPr>
          <w:rFonts w:ascii="Verdana" w:hAnsi="Verdana"/>
          <w:bCs/>
          <w:iCs/>
          <w:sz w:val="18"/>
          <w:szCs w:val="18"/>
        </w:rPr>
        <w:t xml:space="preserve">financiële consequenties voor burgers. </w:t>
      </w:r>
      <w:r>
        <w:rPr>
          <w:rFonts w:ascii="Verdana" w:hAnsi="Verdana"/>
          <w:bCs/>
          <w:iCs/>
          <w:sz w:val="18"/>
          <w:szCs w:val="18"/>
        </w:rPr>
        <w:t>Voor werknemers leidt het voorstel tot gezondheidswinst, door het minder optreden van kanker</w:t>
      </w:r>
      <w:r w:rsidR="001A21E9">
        <w:rPr>
          <w:rFonts w:ascii="Verdana" w:hAnsi="Verdana"/>
          <w:bCs/>
          <w:iCs/>
          <w:sz w:val="18"/>
          <w:szCs w:val="18"/>
        </w:rPr>
        <w:t xml:space="preserve"> en andere aandoeningen (waaronder miskramen), en </w:t>
      </w:r>
      <w:r>
        <w:rPr>
          <w:rFonts w:ascii="Verdana" w:hAnsi="Verdana"/>
          <w:bCs/>
          <w:iCs/>
          <w:sz w:val="18"/>
          <w:szCs w:val="18"/>
        </w:rPr>
        <w:t xml:space="preserve">daarmee minder leed en langer, kwaliteitsvoller en productiever leven. Hiermee </w:t>
      </w:r>
      <w:r w:rsidR="001A21E9">
        <w:rPr>
          <w:rFonts w:ascii="Verdana" w:hAnsi="Verdana"/>
          <w:bCs/>
          <w:iCs/>
          <w:sz w:val="18"/>
          <w:szCs w:val="18"/>
        </w:rPr>
        <w:t xml:space="preserve">worden </w:t>
      </w:r>
      <w:r>
        <w:rPr>
          <w:rFonts w:ascii="Verdana" w:hAnsi="Verdana"/>
          <w:bCs/>
          <w:iCs/>
          <w:sz w:val="18"/>
          <w:szCs w:val="18"/>
        </w:rPr>
        <w:t>ook kosten</w:t>
      </w:r>
      <w:r w:rsidR="001A21E9">
        <w:rPr>
          <w:rFonts w:ascii="Verdana" w:hAnsi="Verdana"/>
          <w:bCs/>
          <w:iCs/>
          <w:sz w:val="18"/>
          <w:szCs w:val="18"/>
        </w:rPr>
        <w:t xml:space="preserve"> voor werknemers</w:t>
      </w:r>
      <w:r>
        <w:rPr>
          <w:rFonts w:ascii="Verdana" w:hAnsi="Verdana"/>
          <w:bCs/>
          <w:iCs/>
          <w:sz w:val="18"/>
          <w:szCs w:val="18"/>
        </w:rPr>
        <w:t xml:space="preserve"> bespaard. Deze zijn door de Commissie gewaardeerd op 193 tot 296 miljoen</w:t>
      </w:r>
      <w:r w:rsidR="00F63B8D">
        <w:rPr>
          <w:rFonts w:ascii="Verdana" w:hAnsi="Verdana"/>
          <w:bCs/>
          <w:iCs/>
          <w:sz w:val="18"/>
          <w:szCs w:val="18"/>
        </w:rPr>
        <w:t xml:space="preserve"> euro</w:t>
      </w:r>
      <w:r>
        <w:rPr>
          <w:rFonts w:ascii="Verdana" w:hAnsi="Verdana"/>
          <w:bCs/>
          <w:iCs/>
          <w:sz w:val="18"/>
          <w:szCs w:val="18"/>
        </w:rPr>
        <w:t>, voornamelijk als gevolg van de grenswaarden voor benzeen en nikkel</w:t>
      </w:r>
      <w:r w:rsidR="00700BAF">
        <w:rPr>
          <w:rFonts w:ascii="Verdana" w:hAnsi="Verdana"/>
          <w:bCs/>
          <w:iCs/>
          <w:sz w:val="18"/>
          <w:szCs w:val="18"/>
        </w:rPr>
        <w:t>verbindingen</w:t>
      </w:r>
      <w:r>
        <w:rPr>
          <w:rFonts w:ascii="Verdana" w:hAnsi="Verdana"/>
          <w:bCs/>
          <w:iCs/>
          <w:sz w:val="18"/>
          <w:szCs w:val="18"/>
        </w:rPr>
        <w:t>.</w:t>
      </w:r>
    </w:p>
    <w:p w14:paraId="761B670B" w14:textId="77777777" w:rsidR="001F1EAA" w:rsidRDefault="001F1EAA" w:rsidP="001F1EAA">
      <w:pPr>
        <w:spacing w:line="360" w:lineRule="auto"/>
        <w:rPr>
          <w:rFonts w:ascii="Verdana" w:hAnsi="Verdana"/>
          <w:bCs/>
          <w:i/>
          <w:iCs/>
          <w:sz w:val="18"/>
          <w:szCs w:val="18"/>
        </w:rPr>
      </w:pPr>
    </w:p>
    <w:p w14:paraId="144CF7CD" w14:textId="77777777" w:rsidR="00F936B2" w:rsidRDefault="00CB7FF8" w:rsidP="00346A84">
      <w:pPr>
        <w:numPr>
          <w:ilvl w:val="0"/>
          <w:numId w:val="8"/>
        </w:numPr>
        <w:spacing w:line="360" w:lineRule="auto"/>
        <w:rPr>
          <w:rFonts w:ascii="Verdana" w:hAnsi="Verdana"/>
          <w:bCs/>
          <w:i/>
          <w:iCs/>
          <w:sz w:val="18"/>
          <w:szCs w:val="18"/>
        </w:rPr>
      </w:pPr>
      <w:r w:rsidRPr="00F74E07">
        <w:rPr>
          <w:rFonts w:ascii="Verdana" w:hAnsi="Verdana"/>
          <w:bCs/>
          <w:i/>
          <w:iCs/>
          <w:sz w:val="18"/>
          <w:szCs w:val="18"/>
        </w:rPr>
        <w:t>Gevolgen voor regeldruk/administratieve lasten voor rijksoverheid, decentrale overheden, bedrijfsleven en burger</w:t>
      </w:r>
    </w:p>
    <w:p w14:paraId="67CB2F0A" w14:textId="4ADACF83" w:rsidR="001F1EAA" w:rsidRPr="0084795F" w:rsidRDefault="001F1EAA" w:rsidP="001F1EAA">
      <w:pPr>
        <w:spacing w:line="360" w:lineRule="auto"/>
        <w:rPr>
          <w:rFonts w:ascii="Verdana" w:hAnsi="Verdana"/>
          <w:bCs/>
          <w:iCs/>
          <w:color w:val="ED7D31"/>
          <w:sz w:val="18"/>
          <w:szCs w:val="18"/>
        </w:rPr>
      </w:pPr>
      <w:r w:rsidRPr="00346A84">
        <w:rPr>
          <w:rFonts w:ascii="Verdana" w:hAnsi="Verdana"/>
          <w:bCs/>
          <w:iCs/>
          <w:sz w:val="18"/>
          <w:szCs w:val="18"/>
        </w:rPr>
        <w:t xml:space="preserve">Het kabinet verwacht geen gevolgen voor de regeldruk voor burgers. De gevolgen voor regeldruk/administratieve lasten voor de overheid en het bedrijfsleven zijn naar verwachting beperkt. Volgens de Commissie legt het pakket van </w:t>
      </w:r>
      <w:r w:rsidR="00700BAF">
        <w:rPr>
          <w:rFonts w:ascii="Verdana" w:hAnsi="Verdana"/>
          <w:bCs/>
          <w:iCs/>
          <w:sz w:val="18"/>
          <w:szCs w:val="18"/>
        </w:rPr>
        <w:t>grenswaarden</w:t>
      </w:r>
      <w:r w:rsidRPr="00346A84">
        <w:rPr>
          <w:rFonts w:ascii="Verdana" w:hAnsi="Verdana"/>
          <w:bCs/>
          <w:iCs/>
          <w:sz w:val="18"/>
          <w:szCs w:val="18"/>
        </w:rPr>
        <w:t xml:space="preserve"> geen extra informatieverplichtingen op, en zal het niet leiden tot een verhoging van de administratieve lasten voor ondernemingen. </w:t>
      </w:r>
      <w:r w:rsidR="00346A84" w:rsidRPr="00346A84">
        <w:rPr>
          <w:rFonts w:ascii="Verdana" w:hAnsi="Verdana"/>
          <w:bCs/>
          <w:iCs/>
          <w:sz w:val="18"/>
          <w:szCs w:val="18"/>
        </w:rPr>
        <w:t>Voor acrylonitril en nikkelverbindingen</w:t>
      </w:r>
      <w:r w:rsidRPr="00346A84">
        <w:rPr>
          <w:rFonts w:ascii="Verdana" w:hAnsi="Verdana"/>
          <w:bCs/>
          <w:iCs/>
          <w:sz w:val="18"/>
          <w:szCs w:val="18"/>
        </w:rPr>
        <w:t xml:space="preserve">, waarvoor Nederland nog geen grenswaarde heeft, betekent de implementatie een kleine lastenverlichting voor bedrijven, aangezien werkgevers dan niet meer zelf een grenswaarde hoeven vast te stellen. Voor </w:t>
      </w:r>
      <w:r w:rsidR="00346A84" w:rsidRPr="00346A84">
        <w:rPr>
          <w:rFonts w:ascii="Verdana" w:hAnsi="Verdana"/>
          <w:bCs/>
          <w:iCs/>
          <w:sz w:val="18"/>
          <w:szCs w:val="18"/>
        </w:rPr>
        <w:t xml:space="preserve">benzeen zullen </w:t>
      </w:r>
      <w:r w:rsidRPr="00346A84">
        <w:rPr>
          <w:rFonts w:ascii="Verdana" w:hAnsi="Verdana"/>
          <w:bCs/>
          <w:iCs/>
          <w:sz w:val="18"/>
          <w:szCs w:val="18"/>
        </w:rPr>
        <w:t xml:space="preserve">bedrijven eenmalig moeten nagaan of zij aan de </w:t>
      </w:r>
      <w:r w:rsidR="00346A84" w:rsidRPr="00346A84">
        <w:rPr>
          <w:rFonts w:ascii="Verdana" w:hAnsi="Verdana"/>
          <w:bCs/>
          <w:iCs/>
          <w:sz w:val="18"/>
          <w:szCs w:val="18"/>
        </w:rPr>
        <w:t xml:space="preserve">marginaal </w:t>
      </w:r>
      <w:r w:rsidRPr="00346A84">
        <w:rPr>
          <w:rFonts w:ascii="Verdana" w:hAnsi="Verdana"/>
          <w:bCs/>
          <w:iCs/>
          <w:sz w:val="18"/>
          <w:szCs w:val="18"/>
        </w:rPr>
        <w:t>lagere grenswaarde voldoen, hetgeen een kleine eenmalige last betekent.</w:t>
      </w:r>
    </w:p>
    <w:p w14:paraId="78D87BFB" w14:textId="77777777" w:rsidR="001F1EAA" w:rsidRDefault="001F1EAA" w:rsidP="001F1EAA">
      <w:pPr>
        <w:spacing w:line="360" w:lineRule="auto"/>
        <w:rPr>
          <w:rFonts w:ascii="Verdana" w:hAnsi="Verdana"/>
          <w:bCs/>
          <w:i/>
          <w:iCs/>
          <w:sz w:val="18"/>
          <w:szCs w:val="18"/>
        </w:rPr>
      </w:pPr>
    </w:p>
    <w:p w14:paraId="241934DC" w14:textId="77777777" w:rsidR="00CB7FF8" w:rsidRDefault="00F936B2" w:rsidP="00346A84">
      <w:pPr>
        <w:numPr>
          <w:ilvl w:val="0"/>
          <w:numId w:val="8"/>
        </w:numPr>
        <w:spacing w:line="360" w:lineRule="auto"/>
        <w:rPr>
          <w:rFonts w:ascii="Verdana" w:hAnsi="Verdana"/>
          <w:bCs/>
          <w:i/>
          <w:iCs/>
          <w:sz w:val="18"/>
          <w:szCs w:val="18"/>
        </w:rPr>
      </w:pPr>
      <w:r>
        <w:rPr>
          <w:rFonts w:ascii="Verdana" w:hAnsi="Verdana"/>
          <w:bCs/>
          <w:i/>
          <w:iCs/>
          <w:sz w:val="18"/>
          <w:szCs w:val="18"/>
        </w:rPr>
        <w:t>Gevolgen voor concurrentiekracht</w:t>
      </w:r>
      <w:r w:rsidR="00CB7FF8" w:rsidRPr="00F74E07">
        <w:rPr>
          <w:rFonts w:ascii="Verdana" w:hAnsi="Verdana"/>
          <w:bCs/>
          <w:i/>
          <w:iCs/>
          <w:sz w:val="18"/>
          <w:szCs w:val="18"/>
        </w:rPr>
        <w:t xml:space="preserve"> </w:t>
      </w:r>
    </w:p>
    <w:p w14:paraId="760DAC51" w14:textId="05B10E32" w:rsidR="00D132EA" w:rsidRDefault="001F1EAA" w:rsidP="00D132EA">
      <w:pPr>
        <w:spacing w:line="360" w:lineRule="auto"/>
        <w:rPr>
          <w:rFonts w:ascii="Verdana" w:hAnsi="Verdana"/>
          <w:bCs/>
          <w:iCs/>
          <w:sz w:val="18"/>
          <w:szCs w:val="18"/>
        </w:rPr>
      </w:pPr>
      <w:r w:rsidRPr="00940D15">
        <w:rPr>
          <w:rFonts w:ascii="Verdana" w:hAnsi="Verdana"/>
          <w:bCs/>
          <w:iCs/>
          <w:sz w:val="18"/>
          <w:szCs w:val="18"/>
        </w:rPr>
        <w:t xml:space="preserve">Met dit richtlijnvoorstel komt er in toenemende mate een gelijk Europees speelveld voor ondernemingen voor wat betreft de bescherming van de veiligheid en gezondheid van werknemers. </w:t>
      </w:r>
      <w:r w:rsidR="00D132EA" w:rsidRPr="009C3177">
        <w:rPr>
          <w:rFonts w:ascii="Verdana" w:hAnsi="Verdana"/>
          <w:bCs/>
          <w:iCs/>
          <w:sz w:val="18"/>
          <w:szCs w:val="18"/>
        </w:rPr>
        <w:t xml:space="preserve">De Europese Commissie verwacht dat er een positief effect is op het functioneren van de interne markt omdat concurrentieverschillen tussen bedrijven in lidstaten met uiteenlopende nationale grenswaarden worden verminderd. </w:t>
      </w:r>
    </w:p>
    <w:p w14:paraId="05989BD0" w14:textId="77777777" w:rsidR="00D132EA" w:rsidRDefault="00D132EA" w:rsidP="00D132EA">
      <w:pPr>
        <w:spacing w:line="360" w:lineRule="auto"/>
        <w:rPr>
          <w:rFonts w:ascii="Verdana" w:hAnsi="Verdana"/>
          <w:bCs/>
          <w:iCs/>
          <w:sz w:val="18"/>
          <w:szCs w:val="18"/>
        </w:rPr>
      </w:pPr>
    </w:p>
    <w:p w14:paraId="4A9E1BC1" w14:textId="566E2203" w:rsidR="00D132EA" w:rsidRDefault="00D132EA" w:rsidP="00D132EA">
      <w:pPr>
        <w:spacing w:line="360" w:lineRule="auto"/>
        <w:rPr>
          <w:rFonts w:ascii="Verdana" w:hAnsi="Verdana"/>
          <w:bCs/>
          <w:iCs/>
          <w:color w:val="ED7D31"/>
          <w:sz w:val="18"/>
          <w:szCs w:val="18"/>
        </w:rPr>
      </w:pPr>
      <w:r w:rsidRPr="00940D15">
        <w:rPr>
          <w:rFonts w:ascii="Verdana" w:hAnsi="Verdana"/>
          <w:bCs/>
          <w:iCs/>
          <w:sz w:val="18"/>
          <w:szCs w:val="18"/>
        </w:rPr>
        <w:t>Voor landen waar het merendeel van de voorgestelde waarden eveneens word</w:t>
      </w:r>
      <w:r w:rsidR="00402FDF">
        <w:rPr>
          <w:rFonts w:ascii="Verdana" w:hAnsi="Verdana"/>
          <w:bCs/>
          <w:iCs/>
          <w:sz w:val="18"/>
          <w:szCs w:val="18"/>
        </w:rPr>
        <w:t>t</w:t>
      </w:r>
      <w:r w:rsidRPr="00940D15">
        <w:rPr>
          <w:rFonts w:ascii="Verdana" w:hAnsi="Verdana"/>
          <w:bCs/>
          <w:iCs/>
          <w:sz w:val="18"/>
          <w:szCs w:val="18"/>
        </w:rPr>
        <w:t xml:space="preserve"> gehanteerd, heeft dit voorstel geen noemenswaardig effect op het externe concurrentievermogen van Europese bedrijven. Voor landen waar echter tot nu toe geen of minder strenge waarden gelden dan </w:t>
      </w:r>
      <w:r w:rsidR="0034542E">
        <w:rPr>
          <w:rFonts w:ascii="Verdana" w:hAnsi="Verdana"/>
          <w:bCs/>
          <w:iCs/>
          <w:sz w:val="18"/>
          <w:szCs w:val="18"/>
        </w:rPr>
        <w:t xml:space="preserve">de waarden </w:t>
      </w:r>
      <w:r w:rsidRPr="00940D15">
        <w:rPr>
          <w:rFonts w:ascii="Verdana" w:hAnsi="Verdana"/>
          <w:bCs/>
          <w:iCs/>
          <w:sz w:val="18"/>
          <w:szCs w:val="18"/>
        </w:rPr>
        <w:t>die de Commissie voorstelt, kan de concurrentiepositie van Europese bedrijven verslechteren</w:t>
      </w:r>
      <w:r w:rsidRPr="00870C18">
        <w:rPr>
          <w:rFonts w:ascii="Verdana" w:hAnsi="Verdana"/>
          <w:bCs/>
          <w:iCs/>
          <w:color w:val="000000" w:themeColor="text1"/>
          <w:sz w:val="18"/>
          <w:szCs w:val="18"/>
        </w:rPr>
        <w:t xml:space="preserve">. </w:t>
      </w:r>
    </w:p>
    <w:p w14:paraId="2E9BA6DD" w14:textId="77777777" w:rsidR="00D132EA" w:rsidRDefault="00D132EA" w:rsidP="00D132EA">
      <w:pPr>
        <w:spacing w:line="360" w:lineRule="auto"/>
        <w:rPr>
          <w:rFonts w:ascii="Verdana" w:hAnsi="Verdana"/>
          <w:bCs/>
          <w:iCs/>
          <w:sz w:val="18"/>
          <w:szCs w:val="18"/>
        </w:rPr>
      </w:pPr>
      <w:r w:rsidRPr="005401BF">
        <w:rPr>
          <w:rFonts w:ascii="Verdana" w:hAnsi="Verdana"/>
          <w:bCs/>
          <w:iCs/>
          <w:sz w:val="18"/>
          <w:szCs w:val="18"/>
        </w:rPr>
        <w:t xml:space="preserve">Er is volgens de Europese Commissie geen belangrijk effect te verwachten op het </w:t>
      </w:r>
      <w:r>
        <w:rPr>
          <w:rFonts w:ascii="Verdana" w:hAnsi="Verdana"/>
          <w:bCs/>
          <w:iCs/>
          <w:sz w:val="18"/>
          <w:szCs w:val="18"/>
        </w:rPr>
        <w:t xml:space="preserve">totale </w:t>
      </w:r>
      <w:r w:rsidRPr="005401BF">
        <w:rPr>
          <w:rFonts w:ascii="Verdana" w:hAnsi="Verdana"/>
          <w:bCs/>
          <w:iCs/>
          <w:sz w:val="18"/>
          <w:szCs w:val="18"/>
        </w:rPr>
        <w:t>externe concurrentievermogen van bedrijven in de Europese Unie.</w:t>
      </w:r>
    </w:p>
    <w:p w14:paraId="245D2768" w14:textId="77777777" w:rsidR="00D132EA" w:rsidRDefault="00D132EA" w:rsidP="001F1EAA">
      <w:pPr>
        <w:spacing w:line="360" w:lineRule="auto"/>
        <w:rPr>
          <w:rFonts w:ascii="Verdana" w:hAnsi="Verdana"/>
          <w:bCs/>
          <w:iCs/>
          <w:color w:val="ED7D31"/>
          <w:sz w:val="18"/>
          <w:szCs w:val="18"/>
        </w:rPr>
      </w:pPr>
    </w:p>
    <w:p w14:paraId="24BD8053" w14:textId="77777777" w:rsidR="001F1EAA" w:rsidRPr="00D132EA" w:rsidRDefault="001F1EAA" w:rsidP="001F1EAA">
      <w:pPr>
        <w:spacing w:line="360" w:lineRule="auto"/>
        <w:rPr>
          <w:rFonts w:ascii="Verdana" w:hAnsi="Verdana"/>
          <w:bCs/>
          <w:iCs/>
          <w:sz w:val="18"/>
          <w:szCs w:val="18"/>
        </w:rPr>
      </w:pPr>
      <w:r w:rsidRPr="00D132EA">
        <w:rPr>
          <w:rFonts w:ascii="Verdana" w:hAnsi="Verdana"/>
          <w:bCs/>
          <w:iCs/>
          <w:sz w:val="18"/>
          <w:szCs w:val="18"/>
        </w:rPr>
        <w:t>Aangezien</w:t>
      </w:r>
      <w:r w:rsidR="00D132EA" w:rsidRPr="00D132EA">
        <w:rPr>
          <w:rFonts w:ascii="Verdana" w:hAnsi="Verdana"/>
          <w:bCs/>
          <w:iCs/>
          <w:sz w:val="18"/>
          <w:szCs w:val="18"/>
        </w:rPr>
        <w:t xml:space="preserve"> Nederland voor de belangrijke</w:t>
      </w:r>
      <w:r w:rsidRPr="00D132EA">
        <w:rPr>
          <w:rFonts w:ascii="Verdana" w:hAnsi="Verdana"/>
          <w:bCs/>
          <w:iCs/>
          <w:sz w:val="18"/>
          <w:szCs w:val="18"/>
        </w:rPr>
        <w:t xml:space="preserve"> stof </w:t>
      </w:r>
      <w:r w:rsidR="00D132EA" w:rsidRPr="00D132EA">
        <w:rPr>
          <w:rFonts w:ascii="Verdana" w:hAnsi="Verdana"/>
          <w:bCs/>
          <w:iCs/>
          <w:sz w:val="18"/>
          <w:szCs w:val="18"/>
        </w:rPr>
        <w:t>benzeen al een lage</w:t>
      </w:r>
      <w:r w:rsidRPr="00D132EA">
        <w:rPr>
          <w:rFonts w:ascii="Verdana" w:hAnsi="Verdana"/>
          <w:bCs/>
          <w:iCs/>
          <w:sz w:val="18"/>
          <w:szCs w:val="18"/>
        </w:rPr>
        <w:t xml:space="preserve"> grenswaarde heeft, komt dit voorstel in Europees opzicht </w:t>
      </w:r>
      <w:r w:rsidR="00D132EA">
        <w:rPr>
          <w:rFonts w:ascii="Verdana" w:hAnsi="Verdana"/>
          <w:bCs/>
          <w:iCs/>
          <w:sz w:val="18"/>
          <w:szCs w:val="18"/>
        </w:rPr>
        <w:t xml:space="preserve">waarschijnlijk </w:t>
      </w:r>
      <w:r w:rsidRPr="00D132EA">
        <w:rPr>
          <w:rFonts w:ascii="Verdana" w:hAnsi="Verdana"/>
          <w:bCs/>
          <w:iCs/>
          <w:sz w:val="18"/>
          <w:szCs w:val="18"/>
        </w:rPr>
        <w:t>ten goede aan de Nederlandse concurrentiekracht.</w:t>
      </w:r>
    </w:p>
    <w:p w14:paraId="14F0A4D4" w14:textId="77777777" w:rsidR="00CB7FF8" w:rsidRPr="00DA19A2" w:rsidRDefault="00CB7FF8" w:rsidP="00CB7FF8">
      <w:pPr>
        <w:tabs>
          <w:tab w:val="left" w:pos="567"/>
          <w:tab w:val="left" w:pos="1134"/>
          <w:tab w:val="left" w:pos="1701"/>
          <w:tab w:val="left" w:pos="1843"/>
          <w:tab w:val="left" w:pos="2268"/>
          <w:tab w:val="left" w:pos="2552"/>
          <w:tab w:val="left" w:pos="2835"/>
          <w:tab w:val="left" w:pos="3119"/>
        </w:tabs>
        <w:spacing w:line="360" w:lineRule="auto"/>
        <w:rPr>
          <w:rFonts w:ascii="Verdana" w:hAnsi="Verdana"/>
          <w:i/>
          <w:sz w:val="18"/>
          <w:szCs w:val="18"/>
          <w:u w:val="single"/>
        </w:rPr>
      </w:pPr>
    </w:p>
    <w:p w14:paraId="6EF02717" w14:textId="77777777" w:rsidR="00CB7FF8" w:rsidRDefault="00CB7FF8" w:rsidP="00346A84">
      <w:pPr>
        <w:numPr>
          <w:ilvl w:val="0"/>
          <w:numId w:val="3"/>
        </w:numPr>
        <w:spacing w:line="360" w:lineRule="auto"/>
        <w:rPr>
          <w:rFonts w:ascii="Verdana" w:hAnsi="Verdana"/>
          <w:b/>
          <w:sz w:val="18"/>
          <w:szCs w:val="18"/>
        </w:rPr>
      </w:pPr>
      <w:r w:rsidRPr="00DA19A2">
        <w:rPr>
          <w:rFonts w:ascii="Verdana" w:hAnsi="Verdana"/>
          <w:b/>
          <w:sz w:val="18"/>
          <w:szCs w:val="18"/>
        </w:rPr>
        <w:t>Implicaties juridisch</w:t>
      </w:r>
    </w:p>
    <w:p w14:paraId="0E18818A" w14:textId="562AAD50" w:rsidR="00CB7FF8" w:rsidRDefault="00CB7FF8" w:rsidP="00346A84">
      <w:pPr>
        <w:numPr>
          <w:ilvl w:val="0"/>
          <w:numId w:val="9"/>
        </w:numPr>
        <w:spacing w:line="360" w:lineRule="auto"/>
        <w:rPr>
          <w:rFonts w:ascii="Verdana" w:hAnsi="Verdana"/>
          <w:bCs/>
          <w:i/>
          <w:iCs/>
          <w:sz w:val="18"/>
          <w:szCs w:val="18"/>
        </w:rPr>
      </w:pPr>
      <w:r w:rsidRPr="00DA19A2">
        <w:rPr>
          <w:rFonts w:ascii="Verdana" w:hAnsi="Verdana"/>
          <w:bCs/>
          <w:i/>
          <w:iCs/>
          <w:sz w:val="18"/>
          <w:szCs w:val="18"/>
        </w:rPr>
        <w:t>Consequenties voor nationale en decentrale regelgeving en/of sanctionering beleid (</w:t>
      </w:r>
      <w:r w:rsidR="008F31C1" w:rsidRPr="00DA19A2">
        <w:rPr>
          <w:rFonts w:ascii="Verdana" w:hAnsi="Verdana"/>
          <w:bCs/>
          <w:i/>
          <w:iCs/>
          <w:sz w:val="18"/>
          <w:szCs w:val="18"/>
        </w:rPr>
        <w:t>inclusief toepassing</w:t>
      </w:r>
      <w:r w:rsidRPr="00DA19A2">
        <w:rPr>
          <w:rFonts w:ascii="Verdana" w:hAnsi="Verdana"/>
          <w:bCs/>
          <w:i/>
          <w:iCs/>
          <w:sz w:val="18"/>
          <w:szCs w:val="18"/>
        </w:rPr>
        <w:t xml:space="preserve"> van de lex silencio positivo) </w:t>
      </w:r>
    </w:p>
    <w:p w14:paraId="5D2E3910" w14:textId="77777777" w:rsidR="001F1EAA" w:rsidRDefault="001F1EAA" w:rsidP="001F1EAA">
      <w:pPr>
        <w:spacing w:line="360" w:lineRule="auto"/>
        <w:rPr>
          <w:rFonts w:ascii="Verdana" w:hAnsi="Verdana"/>
          <w:bCs/>
          <w:iCs/>
          <w:color w:val="ED7D31"/>
          <w:sz w:val="18"/>
          <w:szCs w:val="18"/>
        </w:rPr>
      </w:pPr>
      <w:r w:rsidRPr="00940D15">
        <w:rPr>
          <w:rFonts w:ascii="Verdana" w:hAnsi="Verdana"/>
          <w:bCs/>
          <w:iCs/>
          <w:sz w:val="18"/>
          <w:szCs w:val="18"/>
        </w:rPr>
        <w:t>Nationale regelgeving zal in overeenstemming moeten worden gebracht met de verplichtingen die uit de richtlijn voortvloeien. Dit betekent een beperkte aanpassing van bijlage XIII (stoffenlijst) bij de Arbeidsomstandighedenregeling (enkele nieuwe grenswaard</w:t>
      </w:r>
      <w:r w:rsidR="0005670B">
        <w:rPr>
          <w:rFonts w:ascii="Verdana" w:hAnsi="Verdana"/>
          <w:bCs/>
          <w:iCs/>
          <w:sz w:val="18"/>
          <w:szCs w:val="18"/>
        </w:rPr>
        <w:t xml:space="preserve">en). </w:t>
      </w:r>
    </w:p>
    <w:p w14:paraId="515001EA" w14:textId="77777777" w:rsidR="0005670B" w:rsidRDefault="0005670B" w:rsidP="001F1EAA">
      <w:pPr>
        <w:spacing w:line="360" w:lineRule="auto"/>
        <w:rPr>
          <w:rFonts w:ascii="Verdana" w:hAnsi="Verdana"/>
          <w:bCs/>
          <w:i/>
          <w:iCs/>
          <w:sz w:val="18"/>
          <w:szCs w:val="18"/>
        </w:rPr>
      </w:pPr>
    </w:p>
    <w:p w14:paraId="05664574" w14:textId="77777777" w:rsidR="00F74E07" w:rsidRDefault="00F74E07" w:rsidP="00346A84">
      <w:pPr>
        <w:numPr>
          <w:ilvl w:val="0"/>
          <w:numId w:val="9"/>
        </w:numPr>
        <w:tabs>
          <w:tab w:val="left" w:pos="-426"/>
        </w:tabs>
        <w:suppressAutoHyphens/>
        <w:spacing w:line="360" w:lineRule="auto"/>
        <w:rPr>
          <w:rFonts w:ascii="Verdana" w:hAnsi="Verdana"/>
          <w:bCs/>
          <w:i/>
          <w:iCs/>
          <w:sz w:val="18"/>
          <w:szCs w:val="18"/>
        </w:rPr>
      </w:pPr>
      <w:r w:rsidRPr="00DA19A2">
        <w:rPr>
          <w:rFonts w:ascii="Verdana" w:hAnsi="Verdana"/>
          <w:bCs/>
          <w:i/>
          <w:iCs/>
          <w:sz w:val="18"/>
          <w:szCs w:val="18"/>
        </w:rPr>
        <w:t>Gedelegeerde en/of uitvoeringshandelingen</w:t>
      </w:r>
      <w:r>
        <w:rPr>
          <w:rFonts w:ascii="Verdana" w:hAnsi="Verdana"/>
          <w:bCs/>
          <w:i/>
          <w:iCs/>
          <w:sz w:val="18"/>
          <w:szCs w:val="18"/>
        </w:rPr>
        <w:t>, incl. NL-beoordeling daarvan</w:t>
      </w:r>
    </w:p>
    <w:p w14:paraId="3F8325A5" w14:textId="77777777" w:rsidR="001F1EAA" w:rsidRPr="00940D15" w:rsidRDefault="001F1EAA" w:rsidP="001F1EAA">
      <w:pPr>
        <w:tabs>
          <w:tab w:val="left" w:pos="-426"/>
        </w:tabs>
        <w:suppressAutoHyphens/>
        <w:spacing w:line="360" w:lineRule="auto"/>
        <w:rPr>
          <w:rFonts w:ascii="Verdana" w:hAnsi="Verdana"/>
          <w:bCs/>
          <w:iCs/>
          <w:sz w:val="18"/>
          <w:szCs w:val="18"/>
        </w:rPr>
      </w:pPr>
      <w:r w:rsidRPr="00940D15">
        <w:rPr>
          <w:rFonts w:ascii="Verdana" w:hAnsi="Verdana"/>
          <w:bCs/>
          <w:iCs/>
          <w:sz w:val="18"/>
          <w:szCs w:val="18"/>
        </w:rPr>
        <w:t>Het voorstel bevat geen gedelegeerde en/of uitvoeringsbevoegdheden voor de Commissie.</w:t>
      </w:r>
    </w:p>
    <w:p w14:paraId="2547EEC1" w14:textId="77777777" w:rsidR="001F1EAA" w:rsidRPr="00F74E07" w:rsidRDefault="001F1EAA" w:rsidP="001F1EAA">
      <w:pPr>
        <w:tabs>
          <w:tab w:val="left" w:pos="-426"/>
        </w:tabs>
        <w:suppressAutoHyphens/>
        <w:spacing w:line="360" w:lineRule="auto"/>
        <w:rPr>
          <w:rFonts w:ascii="Verdana" w:hAnsi="Verdana"/>
          <w:bCs/>
          <w:i/>
          <w:iCs/>
          <w:sz w:val="18"/>
          <w:szCs w:val="18"/>
        </w:rPr>
      </w:pPr>
    </w:p>
    <w:p w14:paraId="539F2459" w14:textId="77777777" w:rsidR="00CB7FF8" w:rsidRDefault="00CB7FF8" w:rsidP="00346A84">
      <w:pPr>
        <w:numPr>
          <w:ilvl w:val="0"/>
          <w:numId w:val="9"/>
        </w:numPr>
        <w:spacing w:line="360" w:lineRule="auto"/>
        <w:rPr>
          <w:rFonts w:ascii="Verdana" w:hAnsi="Verdana"/>
          <w:bCs/>
          <w:i/>
          <w:iCs/>
          <w:sz w:val="18"/>
          <w:szCs w:val="18"/>
        </w:rPr>
      </w:pPr>
      <w:r w:rsidRPr="00DA19A2">
        <w:rPr>
          <w:rFonts w:ascii="Verdana" w:hAnsi="Verdana"/>
          <w:bCs/>
          <w:i/>
          <w:iCs/>
          <w:sz w:val="18"/>
          <w:szCs w:val="18"/>
        </w:rPr>
        <w:t>Voorgestelde implementatietermijn (bij richtlijnen), dan wel voorgestelde datum inwerkingtreding (bij verordeningen en bes</w:t>
      </w:r>
      <w:r w:rsidR="00AE735B">
        <w:rPr>
          <w:rFonts w:ascii="Verdana" w:hAnsi="Verdana"/>
          <w:bCs/>
          <w:i/>
          <w:iCs/>
          <w:sz w:val="18"/>
          <w:szCs w:val="18"/>
        </w:rPr>
        <w:t>luiten</w:t>
      </w:r>
      <w:r w:rsidRPr="00DA19A2">
        <w:rPr>
          <w:rFonts w:ascii="Verdana" w:hAnsi="Verdana"/>
          <w:bCs/>
          <w:i/>
          <w:iCs/>
          <w:sz w:val="18"/>
          <w:szCs w:val="18"/>
        </w:rPr>
        <w:t>) met commentaar t.a.v. haalbaarheid</w:t>
      </w:r>
    </w:p>
    <w:p w14:paraId="1B425A0D" w14:textId="77777777" w:rsidR="007536E9" w:rsidRDefault="00236E7B" w:rsidP="007536E9">
      <w:pPr>
        <w:spacing w:line="360" w:lineRule="auto"/>
        <w:rPr>
          <w:rFonts w:ascii="Verdana" w:hAnsi="Verdana"/>
          <w:bCs/>
          <w:iCs/>
          <w:sz w:val="18"/>
          <w:szCs w:val="18"/>
        </w:rPr>
      </w:pPr>
      <w:r w:rsidRPr="00940D15">
        <w:rPr>
          <w:rFonts w:ascii="Verdana" w:hAnsi="Verdana"/>
          <w:bCs/>
          <w:iCs/>
          <w:sz w:val="18"/>
          <w:szCs w:val="18"/>
        </w:rPr>
        <w:t>Volgens het richtlijnvoorstel treedt de richtlijn in werking 20 dagen na bekendmaking in het publicatieblad.</w:t>
      </w:r>
      <w:r>
        <w:rPr>
          <w:rFonts w:ascii="Verdana" w:hAnsi="Verdana"/>
          <w:bCs/>
          <w:iCs/>
          <w:sz w:val="18"/>
          <w:szCs w:val="18"/>
        </w:rPr>
        <w:t xml:space="preserve"> </w:t>
      </w:r>
      <w:r w:rsidR="007536E9" w:rsidRPr="00940D15">
        <w:rPr>
          <w:rFonts w:ascii="Verdana" w:hAnsi="Verdana"/>
          <w:bCs/>
          <w:iCs/>
          <w:sz w:val="18"/>
          <w:szCs w:val="18"/>
        </w:rPr>
        <w:t xml:space="preserve">De wettelijke en bestuursrechtelijke bepalingen die nodig zijn ter uitvoering van de voorgestelde richtlijn moeten uiterlijk 2 jaar na inwerkingtreding van de richtlijn van kracht worden. Deze periode is lang genoeg voor een nationale implementatie van de grenswaarde met inachtneming van onze nationale </w:t>
      </w:r>
      <w:r w:rsidR="00940D15">
        <w:rPr>
          <w:rFonts w:ascii="Verdana" w:hAnsi="Verdana"/>
          <w:bCs/>
          <w:iCs/>
          <w:sz w:val="18"/>
          <w:szCs w:val="18"/>
        </w:rPr>
        <w:t>praktijken</w:t>
      </w:r>
      <w:r w:rsidR="007536E9" w:rsidRPr="00940D15">
        <w:rPr>
          <w:rFonts w:ascii="Verdana" w:hAnsi="Verdana"/>
          <w:bCs/>
          <w:iCs/>
          <w:sz w:val="18"/>
          <w:szCs w:val="18"/>
        </w:rPr>
        <w:t xml:space="preserve">. </w:t>
      </w:r>
    </w:p>
    <w:p w14:paraId="5B8577E4" w14:textId="77777777" w:rsidR="00236E7B" w:rsidRDefault="00236E7B" w:rsidP="007536E9">
      <w:pPr>
        <w:spacing w:line="360" w:lineRule="auto"/>
        <w:rPr>
          <w:rFonts w:ascii="Verdana" w:hAnsi="Verdana"/>
          <w:bCs/>
          <w:iCs/>
          <w:sz w:val="18"/>
          <w:szCs w:val="18"/>
        </w:rPr>
      </w:pPr>
    </w:p>
    <w:p w14:paraId="2A55577F" w14:textId="77777777" w:rsidR="007536E9" w:rsidRPr="0084795F" w:rsidRDefault="00236E7B" w:rsidP="007536E9">
      <w:pPr>
        <w:spacing w:line="360" w:lineRule="auto"/>
        <w:rPr>
          <w:rFonts w:ascii="Verdana" w:hAnsi="Verdana"/>
          <w:bCs/>
          <w:iCs/>
          <w:color w:val="ED7D31"/>
          <w:sz w:val="18"/>
          <w:szCs w:val="18"/>
        </w:rPr>
      </w:pPr>
      <w:r>
        <w:rPr>
          <w:rFonts w:ascii="Verdana" w:hAnsi="Verdana"/>
          <w:bCs/>
          <w:iCs/>
          <w:sz w:val="18"/>
          <w:szCs w:val="18"/>
        </w:rPr>
        <w:t>Voor acrylonitril en benzeen geldt dat de grenswaarden 4 jaar na van kracht worden van de richtlijn ingaan; voor benzeen geldt op Europees niveau daarvoor nog een overgangswaarde voor de periode tussen 2 en 4 jaar na van kracht worden van de richtlijn</w:t>
      </w:r>
      <w:r w:rsidR="0084348B">
        <w:rPr>
          <w:rFonts w:ascii="Verdana" w:hAnsi="Verdana"/>
          <w:bCs/>
          <w:iCs/>
          <w:sz w:val="18"/>
          <w:szCs w:val="18"/>
        </w:rPr>
        <w:t xml:space="preserve"> (</w:t>
      </w:r>
      <w:r>
        <w:rPr>
          <w:rFonts w:ascii="Verdana" w:hAnsi="Verdana"/>
          <w:bCs/>
          <w:iCs/>
          <w:sz w:val="18"/>
          <w:szCs w:val="18"/>
        </w:rPr>
        <w:t>maar in Nederland geldt dan de huidige nationale grenswaarde</w:t>
      </w:r>
      <w:r w:rsidR="0084348B">
        <w:rPr>
          <w:rFonts w:ascii="Verdana" w:hAnsi="Verdana"/>
          <w:bCs/>
          <w:iCs/>
          <w:sz w:val="18"/>
          <w:szCs w:val="18"/>
        </w:rPr>
        <w:t>)</w:t>
      </w:r>
      <w:r>
        <w:rPr>
          <w:rFonts w:ascii="Verdana" w:hAnsi="Verdana"/>
          <w:bCs/>
          <w:iCs/>
          <w:sz w:val="18"/>
          <w:szCs w:val="18"/>
        </w:rPr>
        <w:t>. Voor nikkel gelden de grenswaarden vanaf 18 januari 2025, voorafgaand aan deze periode geldt een overgangswaarde.</w:t>
      </w:r>
    </w:p>
    <w:p w14:paraId="270A6BAB" w14:textId="77777777" w:rsidR="001F1EAA" w:rsidRPr="00DA19A2" w:rsidRDefault="001F1EAA" w:rsidP="001F1EAA">
      <w:pPr>
        <w:spacing w:line="360" w:lineRule="auto"/>
        <w:rPr>
          <w:rFonts w:ascii="Verdana" w:hAnsi="Verdana"/>
          <w:bCs/>
          <w:i/>
          <w:iCs/>
          <w:sz w:val="18"/>
          <w:szCs w:val="18"/>
        </w:rPr>
      </w:pPr>
    </w:p>
    <w:p w14:paraId="55D1525E" w14:textId="77777777" w:rsidR="00CB7FF8" w:rsidRDefault="00CB7FF8" w:rsidP="00346A84">
      <w:pPr>
        <w:numPr>
          <w:ilvl w:val="0"/>
          <w:numId w:val="9"/>
        </w:numPr>
        <w:spacing w:line="360" w:lineRule="auto"/>
        <w:rPr>
          <w:rFonts w:ascii="Verdana" w:hAnsi="Verdana"/>
          <w:bCs/>
          <w:i/>
          <w:iCs/>
          <w:sz w:val="18"/>
          <w:szCs w:val="18"/>
        </w:rPr>
      </w:pPr>
      <w:r w:rsidRPr="00DA19A2">
        <w:rPr>
          <w:rFonts w:ascii="Verdana" w:hAnsi="Verdana"/>
          <w:bCs/>
          <w:i/>
          <w:iCs/>
          <w:sz w:val="18"/>
          <w:szCs w:val="18"/>
        </w:rPr>
        <w:t>Wenselijkheid evaluatie-/horizonbepaling</w:t>
      </w:r>
    </w:p>
    <w:p w14:paraId="5A51B26B" w14:textId="77777777" w:rsidR="001F1EAA" w:rsidRPr="00940D15" w:rsidRDefault="001F1EAA" w:rsidP="001F1EAA">
      <w:pPr>
        <w:spacing w:line="360" w:lineRule="auto"/>
        <w:rPr>
          <w:rFonts w:ascii="Verdana" w:hAnsi="Verdana"/>
          <w:bCs/>
          <w:iCs/>
          <w:sz w:val="18"/>
          <w:szCs w:val="18"/>
        </w:rPr>
      </w:pPr>
      <w:r w:rsidRPr="00940D15">
        <w:rPr>
          <w:rFonts w:ascii="Verdana" w:hAnsi="Verdana"/>
          <w:bCs/>
          <w:iCs/>
          <w:sz w:val="18"/>
          <w:szCs w:val="18"/>
        </w:rPr>
        <w:t xml:space="preserve">De voorgestelde richtlijn voorziet niet in een evaluatie. Dit is wat het kabinet betreft </w:t>
      </w:r>
      <w:r w:rsidR="00940D15" w:rsidRPr="00940D15">
        <w:rPr>
          <w:rFonts w:ascii="Verdana" w:hAnsi="Verdana"/>
          <w:bCs/>
          <w:iCs/>
          <w:sz w:val="18"/>
          <w:szCs w:val="18"/>
        </w:rPr>
        <w:t>ook niet n</w:t>
      </w:r>
      <w:r w:rsidRPr="00940D15">
        <w:rPr>
          <w:rFonts w:ascii="Verdana" w:hAnsi="Verdana"/>
          <w:bCs/>
          <w:iCs/>
          <w:sz w:val="18"/>
          <w:szCs w:val="18"/>
        </w:rPr>
        <w:t>odig.</w:t>
      </w:r>
    </w:p>
    <w:p w14:paraId="0B369DA6" w14:textId="77777777" w:rsidR="001F1EAA" w:rsidRDefault="001F1EAA" w:rsidP="001F1EAA">
      <w:pPr>
        <w:spacing w:line="360" w:lineRule="auto"/>
        <w:rPr>
          <w:rFonts w:ascii="Verdana" w:hAnsi="Verdana"/>
          <w:bCs/>
          <w:i/>
          <w:iCs/>
          <w:sz w:val="18"/>
          <w:szCs w:val="18"/>
        </w:rPr>
      </w:pPr>
    </w:p>
    <w:p w14:paraId="494A9690" w14:textId="77777777" w:rsidR="00B538E7" w:rsidRPr="00DA19A2" w:rsidRDefault="00B538E7" w:rsidP="00346A84">
      <w:pPr>
        <w:numPr>
          <w:ilvl w:val="0"/>
          <w:numId w:val="9"/>
        </w:numPr>
        <w:spacing w:line="360" w:lineRule="auto"/>
        <w:rPr>
          <w:rFonts w:ascii="Verdana" w:hAnsi="Verdana"/>
          <w:bCs/>
          <w:i/>
          <w:iCs/>
          <w:sz w:val="18"/>
          <w:szCs w:val="18"/>
        </w:rPr>
      </w:pPr>
      <w:r>
        <w:rPr>
          <w:rFonts w:ascii="Verdana" w:hAnsi="Verdana"/>
          <w:bCs/>
          <w:i/>
          <w:iCs/>
          <w:sz w:val="18"/>
          <w:szCs w:val="18"/>
        </w:rPr>
        <w:t>Constitutionele toets</w:t>
      </w:r>
    </w:p>
    <w:p w14:paraId="4D7EE110" w14:textId="2B750377" w:rsidR="00CB7FF8" w:rsidRDefault="009047EC" w:rsidP="00CB7FF8">
      <w:pPr>
        <w:tabs>
          <w:tab w:val="left" w:pos="-284"/>
          <w:tab w:val="left" w:pos="340"/>
          <w:tab w:val="left" w:pos="426"/>
          <w:tab w:val="left" w:pos="680"/>
          <w:tab w:val="left" w:pos="1021"/>
          <w:tab w:val="left" w:pos="1361"/>
        </w:tabs>
        <w:spacing w:line="360" w:lineRule="auto"/>
        <w:rPr>
          <w:rFonts w:ascii="Verdana" w:hAnsi="Verdana"/>
          <w:sz w:val="18"/>
          <w:szCs w:val="18"/>
        </w:rPr>
      </w:pPr>
      <w:r>
        <w:rPr>
          <w:rFonts w:ascii="Verdana" w:hAnsi="Verdana"/>
          <w:sz w:val="18"/>
          <w:szCs w:val="18"/>
        </w:rPr>
        <w:t>Niet van toepassing</w:t>
      </w:r>
    </w:p>
    <w:p w14:paraId="4312C911" w14:textId="27D320FA" w:rsidR="00FE2D11" w:rsidRDefault="00FE2D11" w:rsidP="00CB7FF8">
      <w:pPr>
        <w:tabs>
          <w:tab w:val="left" w:pos="-284"/>
          <w:tab w:val="left" w:pos="340"/>
          <w:tab w:val="left" w:pos="426"/>
          <w:tab w:val="left" w:pos="680"/>
          <w:tab w:val="left" w:pos="1021"/>
          <w:tab w:val="left" w:pos="1361"/>
        </w:tabs>
        <w:spacing w:line="360" w:lineRule="auto"/>
        <w:rPr>
          <w:rFonts w:ascii="Verdana" w:hAnsi="Verdana"/>
          <w:sz w:val="18"/>
          <w:szCs w:val="18"/>
        </w:rPr>
      </w:pPr>
    </w:p>
    <w:p w14:paraId="69A4EEC9" w14:textId="77777777" w:rsidR="00FE2D11" w:rsidRPr="00B73039" w:rsidRDefault="00FE2D11" w:rsidP="00CB7FF8">
      <w:pPr>
        <w:tabs>
          <w:tab w:val="left" w:pos="-284"/>
          <w:tab w:val="left" w:pos="340"/>
          <w:tab w:val="left" w:pos="426"/>
          <w:tab w:val="left" w:pos="680"/>
          <w:tab w:val="left" w:pos="1021"/>
          <w:tab w:val="left" w:pos="1361"/>
        </w:tabs>
        <w:spacing w:line="360" w:lineRule="auto"/>
        <w:rPr>
          <w:rFonts w:ascii="Verdana" w:hAnsi="Verdana"/>
          <w:sz w:val="18"/>
          <w:szCs w:val="18"/>
        </w:rPr>
      </w:pPr>
    </w:p>
    <w:p w14:paraId="178CF8FC" w14:textId="77777777" w:rsidR="00B73039" w:rsidRPr="00DA19A2" w:rsidRDefault="00B73039" w:rsidP="00CB7FF8">
      <w:pPr>
        <w:tabs>
          <w:tab w:val="left" w:pos="-284"/>
          <w:tab w:val="left" w:pos="340"/>
          <w:tab w:val="left" w:pos="426"/>
          <w:tab w:val="left" w:pos="680"/>
          <w:tab w:val="left" w:pos="1021"/>
          <w:tab w:val="left" w:pos="1361"/>
        </w:tabs>
        <w:spacing w:line="360" w:lineRule="auto"/>
        <w:rPr>
          <w:rFonts w:ascii="Verdana" w:hAnsi="Verdana"/>
          <w:sz w:val="18"/>
          <w:szCs w:val="18"/>
          <w:u w:val="single"/>
        </w:rPr>
      </w:pPr>
    </w:p>
    <w:p w14:paraId="16388AAE" w14:textId="77777777" w:rsidR="00CB7FF8" w:rsidRPr="00DA19A2" w:rsidRDefault="00CB7FF8" w:rsidP="00346A84">
      <w:pPr>
        <w:numPr>
          <w:ilvl w:val="0"/>
          <w:numId w:val="3"/>
        </w:numPr>
        <w:spacing w:line="360" w:lineRule="auto"/>
        <w:rPr>
          <w:rFonts w:ascii="Verdana" w:hAnsi="Verdana"/>
          <w:b/>
          <w:sz w:val="18"/>
          <w:szCs w:val="18"/>
        </w:rPr>
      </w:pPr>
      <w:r w:rsidRPr="00DA19A2">
        <w:rPr>
          <w:rFonts w:ascii="Verdana" w:hAnsi="Verdana"/>
          <w:b/>
          <w:sz w:val="18"/>
          <w:szCs w:val="18"/>
        </w:rPr>
        <w:t>Implicaties voor uitvoering en</w:t>
      </w:r>
      <w:r w:rsidR="007B66D0">
        <w:rPr>
          <w:rFonts w:ascii="Verdana" w:hAnsi="Verdana"/>
          <w:b/>
          <w:sz w:val="18"/>
          <w:szCs w:val="18"/>
        </w:rPr>
        <w:t>/of</w:t>
      </w:r>
      <w:r w:rsidRPr="00DA19A2">
        <w:rPr>
          <w:rFonts w:ascii="Verdana" w:hAnsi="Verdana"/>
          <w:b/>
          <w:sz w:val="18"/>
          <w:szCs w:val="18"/>
        </w:rPr>
        <w:t xml:space="preserve"> handhaving</w:t>
      </w:r>
    </w:p>
    <w:p w14:paraId="122CF25B" w14:textId="50CAC391" w:rsidR="00CB7FF8" w:rsidRPr="00B96001" w:rsidRDefault="00870C18" w:rsidP="001F1EAA">
      <w:pPr>
        <w:suppressAutoHyphens/>
        <w:spacing w:line="360" w:lineRule="auto"/>
        <w:rPr>
          <w:rFonts w:ascii="Verdana" w:hAnsi="Verdana"/>
          <w:sz w:val="18"/>
          <w:szCs w:val="18"/>
        </w:rPr>
      </w:pPr>
      <w:r>
        <w:rPr>
          <w:rFonts w:ascii="Verdana" w:hAnsi="Verdana"/>
          <w:sz w:val="18"/>
          <w:szCs w:val="18"/>
        </w:rPr>
        <w:t>Er zijn implicaties voor de uitvoerbaarheid van dit voorstel. Wat betreft de handhaving houdt d</w:t>
      </w:r>
      <w:r w:rsidR="001F1EAA" w:rsidRPr="00B96001">
        <w:rPr>
          <w:rFonts w:ascii="Verdana" w:hAnsi="Verdana"/>
          <w:sz w:val="18"/>
          <w:szCs w:val="18"/>
        </w:rPr>
        <w:t xml:space="preserve">e Inspectie SZW toezicht op de naleving van de Arbeidsomstandighedenwet. De uitbreiding van het aantal stoffen met grenswaarden op Europees niveau geeft ook meer duidelijkheid voor toezichthouders in Europa bij de handhaving van de arbeidsomstandighedenregelgeving. De Inspectie SZW gaat bij haar handhavingsbeleid uit van wettelijke grenswaarden of van de verplichting dat de werkgever private grenswaarden moet stellen. De nieuwe grenswaarden voor </w:t>
      </w:r>
      <w:r w:rsidR="00B96001" w:rsidRPr="00B96001">
        <w:rPr>
          <w:rFonts w:ascii="Verdana" w:hAnsi="Verdana"/>
          <w:sz w:val="18"/>
          <w:szCs w:val="18"/>
        </w:rPr>
        <w:t>acrylonitril en nikkelverbindingen (en de marginaal verlaagde grenswaarde voor benzeen)</w:t>
      </w:r>
      <w:r w:rsidR="001F1EAA" w:rsidRPr="00B96001">
        <w:rPr>
          <w:rFonts w:ascii="Verdana" w:hAnsi="Verdana"/>
          <w:sz w:val="18"/>
          <w:szCs w:val="18"/>
        </w:rPr>
        <w:t xml:space="preserve"> zullen naar verwachting geen extra benodigde inspectiecapaciteit met zich meebrengen. Indien het gewenst zou worden dat Inspectie SZW specifiek op deze afzonderlijke stoffen gaat inspect</w:t>
      </w:r>
      <w:r w:rsidR="00B96001" w:rsidRPr="00B96001">
        <w:rPr>
          <w:rFonts w:ascii="Verdana" w:hAnsi="Verdana"/>
          <w:sz w:val="18"/>
          <w:szCs w:val="18"/>
        </w:rPr>
        <w:t>eren, dan zou hiervoor door her</w:t>
      </w:r>
      <w:r w:rsidR="001F1EAA" w:rsidRPr="00B96001">
        <w:rPr>
          <w:rFonts w:ascii="Verdana" w:hAnsi="Verdana"/>
          <w:sz w:val="18"/>
          <w:szCs w:val="18"/>
        </w:rPr>
        <w:t xml:space="preserve">prioritering inspectiecapaciteit beschikbaar moeten komen. </w:t>
      </w:r>
    </w:p>
    <w:p w14:paraId="615A48ED" w14:textId="77777777" w:rsidR="001F1EAA" w:rsidRDefault="001F1EAA" w:rsidP="00CB7FF8">
      <w:pPr>
        <w:suppressAutoHyphens/>
        <w:spacing w:line="360" w:lineRule="auto"/>
        <w:rPr>
          <w:rFonts w:ascii="Verdana" w:hAnsi="Verdana"/>
          <w:b/>
          <w:sz w:val="18"/>
          <w:szCs w:val="18"/>
        </w:rPr>
      </w:pPr>
    </w:p>
    <w:p w14:paraId="5FAC8AF5" w14:textId="77777777" w:rsidR="00CB7FF8" w:rsidRDefault="00CB7FF8" w:rsidP="00346A84">
      <w:pPr>
        <w:numPr>
          <w:ilvl w:val="0"/>
          <w:numId w:val="3"/>
        </w:numPr>
        <w:spacing w:line="360" w:lineRule="auto"/>
        <w:rPr>
          <w:rFonts w:ascii="Verdana" w:hAnsi="Verdana"/>
          <w:b/>
          <w:sz w:val="18"/>
          <w:szCs w:val="18"/>
        </w:rPr>
      </w:pPr>
      <w:r w:rsidRPr="00DA19A2">
        <w:rPr>
          <w:rFonts w:ascii="Verdana" w:hAnsi="Verdana"/>
          <w:b/>
          <w:sz w:val="18"/>
          <w:szCs w:val="18"/>
        </w:rPr>
        <w:t>Implicaties voor ontwikkelingslanden</w:t>
      </w:r>
    </w:p>
    <w:p w14:paraId="795BB131" w14:textId="77777777" w:rsidR="009A3B1D" w:rsidRPr="00B96001" w:rsidRDefault="001F1EAA" w:rsidP="001F1EAA">
      <w:pPr>
        <w:suppressAutoHyphens/>
        <w:spacing w:line="360" w:lineRule="auto"/>
        <w:rPr>
          <w:rFonts w:ascii="Verdana" w:hAnsi="Verdana"/>
          <w:iCs/>
          <w:sz w:val="18"/>
          <w:szCs w:val="18"/>
        </w:rPr>
      </w:pPr>
      <w:r w:rsidRPr="00B96001">
        <w:rPr>
          <w:rFonts w:ascii="Verdana" w:hAnsi="Verdana"/>
          <w:iCs/>
          <w:sz w:val="18"/>
          <w:szCs w:val="18"/>
        </w:rPr>
        <w:t>Het voorstel beperkt zich tot een verplichting voor Europese werkgevers en werknemers. Er zijn geen implicaties voor ontwikkelingslanden.</w:t>
      </w:r>
    </w:p>
    <w:p w14:paraId="4DA99CFC" w14:textId="77777777" w:rsidR="009A3B1D" w:rsidRPr="00DA19A2" w:rsidRDefault="009A3B1D" w:rsidP="00DA19A2">
      <w:pPr>
        <w:tabs>
          <w:tab w:val="left" w:pos="0"/>
          <w:tab w:val="left" w:pos="340"/>
          <w:tab w:val="left" w:pos="680"/>
          <w:tab w:val="left" w:pos="1021"/>
          <w:tab w:val="left" w:pos="1361"/>
          <w:tab w:val="left" w:pos="1701"/>
          <w:tab w:val="left" w:pos="3402"/>
        </w:tabs>
        <w:suppressAutoHyphens/>
        <w:spacing w:line="360" w:lineRule="auto"/>
        <w:rPr>
          <w:rFonts w:ascii="Verdana" w:hAnsi="Verdana"/>
          <w:b/>
          <w:iCs/>
          <w:sz w:val="18"/>
          <w:szCs w:val="18"/>
        </w:rPr>
      </w:pPr>
    </w:p>
    <w:bookmarkEnd w:id="0"/>
    <w:bookmarkEnd w:id="1"/>
    <w:p w14:paraId="3FB23032" w14:textId="77777777" w:rsidR="009A3B1D" w:rsidRPr="00DA19A2" w:rsidRDefault="009A3B1D" w:rsidP="00DA19A2">
      <w:pPr>
        <w:spacing w:line="360" w:lineRule="auto"/>
        <w:rPr>
          <w:rFonts w:ascii="Verdana" w:hAnsi="Verdana"/>
          <w:sz w:val="18"/>
          <w:szCs w:val="18"/>
        </w:rPr>
      </w:pPr>
    </w:p>
    <w:sectPr w:rsidR="009A3B1D" w:rsidRPr="00DA19A2" w:rsidSect="00330FE7">
      <w:headerReference w:type="default" r:id="rId14"/>
      <w:footerReference w:type="even" r:id="rId15"/>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011D" w14:textId="77777777" w:rsidR="00B0471F" w:rsidRDefault="00B0471F">
      <w:r>
        <w:separator/>
      </w:r>
    </w:p>
  </w:endnote>
  <w:endnote w:type="continuationSeparator" w:id="0">
    <w:p w14:paraId="3C94C2F7" w14:textId="77777777" w:rsidR="00B0471F" w:rsidRDefault="00B0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70AB" w14:textId="77777777" w:rsidR="0037596E" w:rsidRDefault="00375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09E">
      <w:rPr>
        <w:rStyle w:val="PageNumber"/>
        <w:noProof/>
      </w:rPr>
      <w:t>2</w:t>
    </w:r>
    <w:r>
      <w:rPr>
        <w:rStyle w:val="PageNumber"/>
      </w:rPr>
      <w:fldChar w:fldCharType="end"/>
    </w:r>
  </w:p>
  <w:p w14:paraId="399D3A1C" w14:textId="77777777" w:rsidR="0037596E" w:rsidRDefault="00375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B066" w14:textId="409B0EBC" w:rsidR="0037596E" w:rsidRDefault="00375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E2B">
      <w:rPr>
        <w:rStyle w:val="PageNumber"/>
        <w:noProof/>
      </w:rPr>
      <w:t>1</w:t>
    </w:r>
    <w:r>
      <w:rPr>
        <w:rStyle w:val="PageNumber"/>
      </w:rPr>
      <w:fldChar w:fldCharType="end"/>
    </w:r>
  </w:p>
  <w:p w14:paraId="1AA9F60D" w14:textId="77777777" w:rsidR="0037596E" w:rsidRDefault="003759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F760C" w14:textId="77777777" w:rsidR="00B0471F" w:rsidRDefault="00B0471F">
      <w:r>
        <w:separator/>
      </w:r>
    </w:p>
  </w:footnote>
  <w:footnote w:type="continuationSeparator" w:id="0">
    <w:p w14:paraId="218BAD82" w14:textId="77777777" w:rsidR="00B0471F" w:rsidRDefault="00B0471F">
      <w:r>
        <w:continuationSeparator/>
      </w:r>
    </w:p>
  </w:footnote>
  <w:footnote w:id="1">
    <w:p w14:paraId="133CE403" w14:textId="77777777" w:rsidR="00842702" w:rsidRPr="00842DCF" w:rsidRDefault="00842702" w:rsidP="00842DCF">
      <w:pPr>
        <w:pStyle w:val="FootnoteText"/>
        <w:ind w:left="142" w:hanging="142"/>
        <w:rPr>
          <w:rFonts w:ascii="Verdana" w:hAnsi="Verdana"/>
        </w:rPr>
      </w:pPr>
      <w:r w:rsidRPr="00842702">
        <w:rPr>
          <w:rStyle w:val="FootnoteReference"/>
          <w:rFonts w:ascii="Verdana" w:hAnsi="Verdana"/>
        </w:rPr>
        <w:footnoteRef/>
      </w:r>
      <w:r w:rsidRPr="00842702">
        <w:rPr>
          <w:rFonts w:ascii="Verdana" w:hAnsi="Verdana"/>
        </w:rPr>
        <w:t xml:space="preserve"> Een carcinogene stof kan kanker veroorzaken bij een blootgesteld persoon. Een mutagene stof kan</w:t>
      </w:r>
      <w:r w:rsidR="00842DCF">
        <w:rPr>
          <w:rFonts w:ascii="Verdana" w:hAnsi="Verdana"/>
        </w:rPr>
        <w:t xml:space="preserve"> een effect hebben op het DNA of </w:t>
      </w:r>
      <w:r w:rsidRPr="00842702">
        <w:rPr>
          <w:rFonts w:ascii="Verdana" w:hAnsi="Verdana"/>
        </w:rPr>
        <w:t>de vruchtbaarheid van de blootgestelde persoon.</w:t>
      </w:r>
    </w:p>
  </w:footnote>
  <w:footnote w:id="2">
    <w:p w14:paraId="2203F998" w14:textId="77777777" w:rsidR="00C4792B" w:rsidRPr="00C4792B" w:rsidRDefault="00C4792B" w:rsidP="00842DCF">
      <w:pPr>
        <w:pStyle w:val="FootnoteText"/>
        <w:ind w:left="142" w:hanging="142"/>
        <w:rPr>
          <w:rFonts w:ascii="Verdana" w:hAnsi="Verdana"/>
        </w:rPr>
      </w:pPr>
      <w:r w:rsidRPr="00C4792B">
        <w:rPr>
          <w:rStyle w:val="FootnoteReference"/>
          <w:rFonts w:ascii="Verdana" w:hAnsi="Verdana"/>
        </w:rPr>
        <w:footnoteRef/>
      </w:r>
      <w:r w:rsidRPr="00C4792B">
        <w:rPr>
          <w:rFonts w:ascii="Verdana" w:hAnsi="Verdana"/>
        </w:rPr>
        <w:t xml:space="preserve"> BNC-Fiches kamerstukken (2015-2016) 22112, nr. 2159, kamerstukk</w:t>
      </w:r>
      <w:r w:rsidR="00842DCF">
        <w:rPr>
          <w:rFonts w:ascii="Verdana" w:hAnsi="Verdana"/>
        </w:rPr>
        <w:t xml:space="preserve">en (2016-2017) 22112, nr. 2308, </w:t>
      </w:r>
      <w:r w:rsidRPr="00C4792B">
        <w:rPr>
          <w:rFonts w:ascii="Verdana" w:hAnsi="Verdana"/>
        </w:rPr>
        <w:t>kamerstukken (2017 – 2018), nr. 22112, 2560.</w:t>
      </w:r>
    </w:p>
  </w:footnote>
  <w:footnote w:id="3">
    <w:p w14:paraId="2F02DA59" w14:textId="77777777" w:rsidR="0074278C" w:rsidRDefault="0074278C" w:rsidP="0074278C">
      <w:pPr>
        <w:pStyle w:val="FootnoteText"/>
      </w:pPr>
      <w:r>
        <w:rPr>
          <w:rStyle w:val="FootnoteReference"/>
        </w:rPr>
        <w:footnoteRef/>
      </w:r>
      <w:r>
        <w:t xml:space="preserve"> </w:t>
      </w:r>
      <w:r>
        <w:rPr>
          <w:rFonts w:ascii="Verdana" w:hAnsi="Verdana"/>
        </w:rPr>
        <w:t>Explanatory Memorandum bij het Voorstel, COM (2020/0262)</w:t>
      </w:r>
    </w:p>
  </w:footnote>
  <w:footnote w:id="4">
    <w:p w14:paraId="1B7F5775" w14:textId="77777777" w:rsidR="0074278C" w:rsidRPr="00462513" w:rsidRDefault="0074278C" w:rsidP="0074278C">
      <w:pPr>
        <w:pStyle w:val="FootnoteText"/>
        <w:rPr>
          <w:rFonts w:ascii="Verdana" w:hAnsi="Verdana"/>
        </w:rPr>
      </w:pPr>
      <w:r w:rsidRPr="00462513">
        <w:rPr>
          <w:rStyle w:val="FootnoteReference"/>
          <w:rFonts w:ascii="Verdana" w:hAnsi="Verdana"/>
        </w:rPr>
        <w:footnoteRef/>
      </w:r>
      <w:r w:rsidRPr="00462513">
        <w:rPr>
          <w:rFonts w:ascii="Verdana" w:hAnsi="Verdana"/>
        </w:rPr>
        <w:t xml:space="preserve"> </w:t>
      </w:r>
      <w:r>
        <w:rPr>
          <w:rFonts w:ascii="Verdana" w:hAnsi="Verdana"/>
        </w:rPr>
        <w:t>Impact Assessment, - SWD (2017) 7.</w:t>
      </w:r>
    </w:p>
  </w:footnote>
  <w:footnote w:id="5">
    <w:p w14:paraId="42A555CC" w14:textId="77777777" w:rsidR="003A44BE" w:rsidRPr="003A44BE" w:rsidRDefault="003A44BE">
      <w:pPr>
        <w:pStyle w:val="FootnoteText"/>
        <w:rPr>
          <w:rFonts w:ascii="Verdana" w:hAnsi="Verdana"/>
        </w:rPr>
      </w:pPr>
      <w:r w:rsidRPr="003A44BE">
        <w:rPr>
          <w:rStyle w:val="FootnoteReference"/>
          <w:rFonts w:ascii="Verdana" w:hAnsi="Verdana"/>
        </w:rPr>
        <w:footnoteRef/>
      </w:r>
      <w:r w:rsidRPr="003A44BE">
        <w:rPr>
          <w:rFonts w:ascii="Verdana" w:hAnsi="Verdana"/>
        </w:rPr>
        <w:t xml:space="preserve"> Inhaleerbare fractie: dat deel dat kan worden ingeademd</w:t>
      </w:r>
    </w:p>
  </w:footnote>
  <w:footnote w:id="6">
    <w:p w14:paraId="5BD94647" w14:textId="77777777" w:rsidR="003A44BE" w:rsidRDefault="003A44BE">
      <w:pPr>
        <w:pStyle w:val="FootnoteText"/>
      </w:pPr>
      <w:r w:rsidRPr="003A44BE">
        <w:rPr>
          <w:rStyle w:val="FootnoteReference"/>
          <w:rFonts w:ascii="Verdana" w:hAnsi="Verdana"/>
        </w:rPr>
        <w:footnoteRef/>
      </w:r>
      <w:r w:rsidRPr="003A44BE">
        <w:rPr>
          <w:rFonts w:ascii="Verdana" w:hAnsi="Verdana"/>
        </w:rPr>
        <w:t xml:space="preserve"> Respirabele fractie: dat deel dat dat </w:t>
      </w:r>
      <w:r w:rsidR="00282755">
        <w:rPr>
          <w:rFonts w:ascii="Verdana" w:hAnsi="Verdana"/>
        </w:rPr>
        <w:t xml:space="preserve">na inademing </w:t>
      </w:r>
      <w:r w:rsidRPr="003A44BE">
        <w:rPr>
          <w:rFonts w:ascii="Verdana" w:hAnsi="Verdana"/>
        </w:rPr>
        <w:t xml:space="preserve">kan </w:t>
      </w:r>
      <w:r w:rsidR="00282755" w:rsidRPr="003A44BE">
        <w:rPr>
          <w:rFonts w:ascii="Verdana" w:hAnsi="Verdana"/>
        </w:rPr>
        <w:t>doordringen</w:t>
      </w:r>
      <w:r w:rsidRPr="003A44BE">
        <w:rPr>
          <w:rFonts w:ascii="Verdana" w:hAnsi="Verdana"/>
        </w:rPr>
        <w:t xml:space="preserve"> in de longblaasjes</w:t>
      </w:r>
    </w:p>
  </w:footnote>
  <w:footnote w:id="7">
    <w:p w14:paraId="396A0376" w14:textId="77777777" w:rsidR="00842702" w:rsidRPr="00842702" w:rsidRDefault="00842702" w:rsidP="00842DCF">
      <w:pPr>
        <w:pStyle w:val="FootnoteText"/>
        <w:ind w:left="142" w:hanging="142"/>
        <w:rPr>
          <w:rFonts w:ascii="Verdana" w:hAnsi="Verdana"/>
        </w:rPr>
      </w:pPr>
      <w:r>
        <w:rPr>
          <w:rStyle w:val="FootnoteReference"/>
        </w:rPr>
        <w:footnoteRef/>
      </w:r>
      <w:r>
        <w:t xml:space="preserve"> </w:t>
      </w:r>
      <w:r w:rsidRPr="00842702">
        <w:rPr>
          <w:rFonts w:ascii="Verdana" w:hAnsi="Verdana"/>
        </w:rPr>
        <w:t>Een indicatie dat een substantieel deel van de interne belasting van het lichaam veroorzaakt wordt door huidblootstelling, en dat</w:t>
      </w:r>
      <w:r w:rsidR="00842DCF">
        <w:rPr>
          <w:rFonts w:ascii="Verdana" w:hAnsi="Verdana"/>
        </w:rPr>
        <w:t xml:space="preserve"> </w:t>
      </w:r>
      <w:r w:rsidRPr="00842702">
        <w:rPr>
          <w:rFonts w:ascii="Verdana" w:hAnsi="Verdana"/>
        </w:rPr>
        <w:t>daarom bescherming van de huid noodzakelijk is.</w:t>
      </w:r>
    </w:p>
  </w:footnote>
  <w:footnote w:id="8">
    <w:p w14:paraId="33138E66" w14:textId="77777777" w:rsidR="00842702" w:rsidRDefault="00842702">
      <w:pPr>
        <w:pStyle w:val="FootnoteText"/>
      </w:pPr>
      <w:r w:rsidRPr="00842702">
        <w:rPr>
          <w:rStyle w:val="FootnoteReference"/>
          <w:rFonts w:ascii="Verdana" w:hAnsi="Verdana"/>
        </w:rPr>
        <w:footnoteRef/>
      </w:r>
      <w:r w:rsidRPr="00842702">
        <w:rPr>
          <w:rFonts w:ascii="Verdana" w:hAnsi="Verdana"/>
        </w:rPr>
        <w:t xml:space="preserve"> Een indicatie dat de stof overgevoeligheid kan veroorzaken van de huid en/of de luchtwegen.</w:t>
      </w:r>
    </w:p>
  </w:footnote>
  <w:footnote w:id="9">
    <w:p w14:paraId="104AB24E" w14:textId="77777777" w:rsidR="00137AF3" w:rsidRDefault="00137AF3" w:rsidP="001E42FE">
      <w:pPr>
        <w:pStyle w:val="FootnoteText"/>
        <w:ind w:left="142" w:hanging="142"/>
      </w:pPr>
      <w:r>
        <w:rPr>
          <w:rStyle w:val="FootnoteReference"/>
        </w:rPr>
        <w:footnoteRef/>
      </w:r>
      <w:r>
        <w:t xml:space="preserve"> </w:t>
      </w:r>
      <w:r w:rsidRPr="00137AF3">
        <w:rPr>
          <w:rFonts w:ascii="Verdana" w:hAnsi="Verdana"/>
        </w:rPr>
        <w:t>Verordening ((EG) nr. 1272/2008) betreffende de indeling, etikettering en verpakking (Classification, Labelling and Packaging - CLP)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0A92" w14:textId="672B2CC4" w:rsidR="00EB777D" w:rsidRPr="00E3509E" w:rsidRDefault="00EB777D" w:rsidP="00E3509E">
    <w:pPr>
      <w:pStyle w:val="Header"/>
      <w:jc w:val="right"/>
      <w:rPr>
        <w:rFonts w:ascii="Verdana" w:hAnsi="Verdana"/>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50A2"/>
    <w:multiLevelType w:val="hybridMultilevel"/>
    <w:tmpl w:val="600E675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11E564C"/>
    <w:multiLevelType w:val="hybridMultilevel"/>
    <w:tmpl w:val="E4FC5D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1995013"/>
    <w:multiLevelType w:val="hybridMultilevel"/>
    <w:tmpl w:val="3E6C3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FA1DA4"/>
    <w:multiLevelType w:val="hybridMultilevel"/>
    <w:tmpl w:val="B59814B4"/>
    <w:lvl w:ilvl="0" w:tplc="150E1B3A">
      <w:start w:val="1"/>
      <w:numFmt w:val="bullet"/>
      <w:pStyle w:val="Spreekpunten"/>
      <w:lvlText w:val=""/>
      <w:lvlJc w:val="left"/>
      <w:pPr>
        <w:tabs>
          <w:tab w:val="num" w:pos="717"/>
        </w:tabs>
        <w:ind w:left="717" w:hanging="360"/>
      </w:pPr>
      <w:rPr>
        <w:rFonts w:ascii="Symbol" w:hAnsi="Symbol" w:hint="default"/>
        <w:color w:val="auto"/>
      </w:rPr>
    </w:lvl>
    <w:lvl w:ilvl="1" w:tplc="25A8F248">
      <w:numFmt w:val="bullet"/>
      <w:lvlText w:val="-"/>
      <w:lvlJc w:val="left"/>
      <w:pPr>
        <w:tabs>
          <w:tab w:val="num" w:pos="1785"/>
        </w:tabs>
        <w:ind w:left="1785" w:hanging="70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072FA"/>
    <w:multiLevelType w:val="hybridMultilevel"/>
    <w:tmpl w:val="6C0CA3E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F846A73"/>
    <w:multiLevelType w:val="hybridMultilevel"/>
    <w:tmpl w:val="33046CE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3445C2D"/>
    <w:multiLevelType w:val="hybridMultilevel"/>
    <w:tmpl w:val="0150A86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94E04F2"/>
    <w:multiLevelType w:val="multilevel"/>
    <w:tmpl w:val="570CC336"/>
    <w:lvl w:ilvl="0">
      <w:start w:val="1"/>
      <w:numFmt w:val="decimal"/>
      <w:pStyle w:val="Heading1"/>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upperRoman"/>
      <w:lvlText w:val="%9"/>
      <w:lvlJc w:val="left"/>
      <w:pPr>
        <w:tabs>
          <w:tab w:val="num" w:pos="1584"/>
        </w:tabs>
        <w:ind w:left="1584" w:hanging="1584"/>
      </w:pPr>
    </w:lvl>
  </w:abstractNum>
  <w:abstractNum w:abstractNumId="8" w15:restartNumberingAfterBreak="0">
    <w:nsid w:val="4A294B46"/>
    <w:multiLevelType w:val="hybridMultilevel"/>
    <w:tmpl w:val="E4F63D34"/>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D880D78"/>
    <w:multiLevelType w:val="hybridMultilevel"/>
    <w:tmpl w:val="BA76C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E364F6"/>
    <w:multiLevelType w:val="hybridMultilevel"/>
    <w:tmpl w:val="DFD46E2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5EA1E54"/>
    <w:multiLevelType w:val="hybridMultilevel"/>
    <w:tmpl w:val="561A861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6051B76"/>
    <w:multiLevelType w:val="hybridMultilevel"/>
    <w:tmpl w:val="4F34EC7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6436178"/>
    <w:multiLevelType w:val="hybridMultilevel"/>
    <w:tmpl w:val="E2B287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F6B2F33"/>
    <w:multiLevelType w:val="hybridMultilevel"/>
    <w:tmpl w:val="3EDE4500"/>
    <w:lvl w:ilvl="0" w:tplc="9282EAFE">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3"/>
  </w:num>
  <w:num w:numId="3">
    <w:abstractNumId w:val="14"/>
  </w:num>
  <w:num w:numId="4">
    <w:abstractNumId w:val="8"/>
  </w:num>
  <w:num w:numId="5">
    <w:abstractNumId w:val="11"/>
  </w:num>
  <w:num w:numId="6">
    <w:abstractNumId w:val="5"/>
  </w:num>
  <w:num w:numId="7">
    <w:abstractNumId w:val="4"/>
  </w:num>
  <w:num w:numId="8">
    <w:abstractNumId w:val="12"/>
  </w:num>
  <w:num w:numId="9">
    <w:abstractNumId w:val="6"/>
  </w:num>
  <w:num w:numId="10">
    <w:abstractNumId w:val="0"/>
  </w:num>
  <w:num w:numId="11">
    <w:abstractNumId w:val="10"/>
  </w:num>
  <w:num w:numId="12">
    <w:abstractNumId w:val="2"/>
  </w:num>
  <w:num w:numId="13">
    <w:abstractNumId w:val="9"/>
  </w:num>
  <w:num w:numId="14">
    <w:abstractNumId w:val="13"/>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2B"/>
    <w:rsid w:val="000038CD"/>
    <w:rsid w:val="00007492"/>
    <w:rsid w:val="00021406"/>
    <w:rsid w:val="000250E9"/>
    <w:rsid w:val="00041294"/>
    <w:rsid w:val="00050ACC"/>
    <w:rsid w:val="0005427D"/>
    <w:rsid w:val="0005670B"/>
    <w:rsid w:val="0005716C"/>
    <w:rsid w:val="00072BDD"/>
    <w:rsid w:val="00073050"/>
    <w:rsid w:val="00076EDE"/>
    <w:rsid w:val="00076FB9"/>
    <w:rsid w:val="00077097"/>
    <w:rsid w:val="000B3E2B"/>
    <w:rsid w:val="000C4244"/>
    <w:rsid w:val="000C6C96"/>
    <w:rsid w:val="000D4EC2"/>
    <w:rsid w:val="000E1F75"/>
    <w:rsid w:val="00107F15"/>
    <w:rsid w:val="00113465"/>
    <w:rsid w:val="00137AF3"/>
    <w:rsid w:val="00147D44"/>
    <w:rsid w:val="00172364"/>
    <w:rsid w:val="0018227F"/>
    <w:rsid w:val="001A21E9"/>
    <w:rsid w:val="001E42FE"/>
    <w:rsid w:val="001E7161"/>
    <w:rsid w:val="001F1EAA"/>
    <w:rsid w:val="0020585B"/>
    <w:rsid w:val="00212693"/>
    <w:rsid w:val="00214630"/>
    <w:rsid w:val="0021593A"/>
    <w:rsid w:val="00236E7B"/>
    <w:rsid w:val="00237D41"/>
    <w:rsid w:val="00276B6A"/>
    <w:rsid w:val="00282755"/>
    <w:rsid w:val="0028660D"/>
    <w:rsid w:val="002A5959"/>
    <w:rsid w:val="002A6423"/>
    <w:rsid w:val="002B76EC"/>
    <w:rsid w:val="002C3954"/>
    <w:rsid w:val="002D0844"/>
    <w:rsid w:val="002F2E18"/>
    <w:rsid w:val="002F4952"/>
    <w:rsid w:val="003144FD"/>
    <w:rsid w:val="00330FE7"/>
    <w:rsid w:val="0034542E"/>
    <w:rsid w:val="00346A84"/>
    <w:rsid w:val="0037596E"/>
    <w:rsid w:val="00375B0B"/>
    <w:rsid w:val="003A44BE"/>
    <w:rsid w:val="003C40B3"/>
    <w:rsid w:val="00402FDF"/>
    <w:rsid w:val="004031BB"/>
    <w:rsid w:val="0040483B"/>
    <w:rsid w:val="004263A8"/>
    <w:rsid w:val="00462513"/>
    <w:rsid w:val="00464716"/>
    <w:rsid w:val="00471286"/>
    <w:rsid w:val="00483C06"/>
    <w:rsid w:val="004D6B03"/>
    <w:rsid w:val="004E5122"/>
    <w:rsid w:val="00524BA9"/>
    <w:rsid w:val="00527EED"/>
    <w:rsid w:val="005401BF"/>
    <w:rsid w:val="00543E94"/>
    <w:rsid w:val="00563002"/>
    <w:rsid w:val="005818DA"/>
    <w:rsid w:val="00596C85"/>
    <w:rsid w:val="005A1789"/>
    <w:rsid w:val="005B19F0"/>
    <w:rsid w:val="005C6340"/>
    <w:rsid w:val="005D4DB0"/>
    <w:rsid w:val="005F2DDC"/>
    <w:rsid w:val="0061569F"/>
    <w:rsid w:val="0068105B"/>
    <w:rsid w:val="00692037"/>
    <w:rsid w:val="0069559B"/>
    <w:rsid w:val="006B0B10"/>
    <w:rsid w:val="006B26E5"/>
    <w:rsid w:val="006C36D2"/>
    <w:rsid w:val="006C37AF"/>
    <w:rsid w:val="006C4AA5"/>
    <w:rsid w:val="006D56E5"/>
    <w:rsid w:val="00700BAF"/>
    <w:rsid w:val="00707C49"/>
    <w:rsid w:val="0071092B"/>
    <w:rsid w:val="0072784C"/>
    <w:rsid w:val="00735FCC"/>
    <w:rsid w:val="00740690"/>
    <w:rsid w:val="0074278C"/>
    <w:rsid w:val="007441B5"/>
    <w:rsid w:val="007536E9"/>
    <w:rsid w:val="007B6688"/>
    <w:rsid w:val="007B66D0"/>
    <w:rsid w:val="007B7D36"/>
    <w:rsid w:val="007C6692"/>
    <w:rsid w:val="007C78B7"/>
    <w:rsid w:val="007E0CD8"/>
    <w:rsid w:val="007F5B97"/>
    <w:rsid w:val="008173E1"/>
    <w:rsid w:val="00822157"/>
    <w:rsid w:val="00842702"/>
    <w:rsid w:val="00842DCF"/>
    <w:rsid w:val="0084348B"/>
    <w:rsid w:val="008471EB"/>
    <w:rsid w:val="0084795F"/>
    <w:rsid w:val="00870C18"/>
    <w:rsid w:val="00880CBF"/>
    <w:rsid w:val="008860BB"/>
    <w:rsid w:val="008927F0"/>
    <w:rsid w:val="00894854"/>
    <w:rsid w:val="008965D7"/>
    <w:rsid w:val="008A2AC3"/>
    <w:rsid w:val="008B0625"/>
    <w:rsid w:val="008C1E1C"/>
    <w:rsid w:val="008E1384"/>
    <w:rsid w:val="008E2FC7"/>
    <w:rsid w:val="008F31C1"/>
    <w:rsid w:val="009047EC"/>
    <w:rsid w:val="00940D15"/>
    <w:rsid w:val="00960DF6"/>
    <w:rsid w:val="009A3B1D"/>
    <w:rsid w:val="009B4D0D"/>
    <w:rsid w:val="009C3177"/>
    <w:rsid w:val="009C6827"/>
    <w:rsid w:val="009D5AB9"/>
    <w:rsid w:val="00A15B58"/>
    <w:rsid w:val="00A24E84"/>
    <w:rsid w:val="00A42449"/>
    <w:rsid w:val="00A46EDB"/>
    <w:rsid w:val="00A53E5A"/>
    <w:rsid w:val="00AA34A7"/>
    <w:rsid w:val="00AC57F0"/>
    <w:rsid w:val="00AC67D2"/>
    <w:rsid w:val="00AE735B"/>
    <w:rsid w:val="00B0471F"/>
    <w:rsid w:val="00B07270"/>
    <w:rsid w:val="00B145FB"/>
    <w:rsid w:val="00B27A3E"/>
    <w:rsid w:val="00B31427"/>
    <w:rsid w:val="00B538E7"/>
    <w:rsid w:val="00B73039"/>
    <w:rsid w:val="00B9558C"/>
    <w:rsid w:val="00B96001"/>
    <w:rsid w:val="00BA46AB"/>
    <w:rsid w:val="00BB190B"/>
    <w:rsid w:val="00BC2368"/>
    <w:rsid w:val="00BC3894"/>
    <w:rsid w:val="00BE290B"/>
    <w:rsid w:val="00C31DFE"/>
    <w:rsid w:val="00C37BEA"/>
    <w:rsid w:val="00C4792B"/>
    <w:rsid w:val="00C65831"/>
    <w:rsid w:val="00C77C7E"/>
    <w:rsid w:val="00C813BE"/>
    <w:rsid w:val="00C85F76"/>
    <w:rsid w:val="00C96210"/>
    <w:rsid w:val="00CA7480"/>
    <w:rsid w:val="00CB02D0"/>
    <w:rsid w:val="00CB1095"/>
    <w:rsid w:val="00CB42BA"/>
    <w:rsid w:val="00CB7FF8"/>
    <w:rsid w:val="00CC395E"/>
    <w:rsid w:val="00CF4814"/>
    <w:rsid w:val="00CF7663"/>
    <w:rsid w:val="00D132EA"/>
    <w:rsid w:val="00D212B0"/>
    <w:rsid w:val="00D46A25"/>
    <w:rsid w:val="00D85808"/>
    <w:rsid w:val="00D90F00"/>
    <w:rsid w:val="00DA19A2"/>
    <w:rsid w:val="00DD2E8E"/>
    <w:rsid w:val="00DE60C8"/>
    <w:rsid w:val="00E05DE3"/>
    <w:rsid w:val="00E14189"/>
    <w:rsid w:val="00E26089"/>
    <w:rsid w:val="00E3509E"/>
    <w:rsid w:val="00E539A8"/>
    <w:rsid w:val="00E64515"/>
    <w:rsid w:val="00E91D47"/>
    <w:rsid w:val="00EB777D"/>
    <w:rsid w:val="00ED0265"/>
    <w:rsid w:val="00ED0B01"/>
    <w:rsid w:val="00ED1F41"/>
    <w:rsid w:val="00ED5BAE"/>
    <w:rsid w:val="00EE300E"/>
    <w:rsid w:val="00EF2981"/>
    <w:rsid w:val="00EF5DDB"/>
    <w:rsid w:val="00F14991"/>
    <w:rsid w:val="00F30C33"/>
    <w:rsid w:val="00F30F76"/>
    <w:rsid w:val="00F431C3"/>
    <w:rsid w:val="00F54064"/>
    <w:rsid w:val="00F55A1B"/>
    <w:rsid w:val="00F63B8D"/>
    <w:rsid w:val="00F723E4"/>
    <w:rsid w:val="00F74E07"/>
    <w:rsid w:val="00F878CF"/>
    <w:rsid w:val="00F936B2"/>
    <w:rsid w:val="00FA0F39"/>
    <w:rsid w:val="00FA3278"/>
    <w:rsid w:val="00FA65F2"/>
    <w:rsid w:val="00FE2D11"/>
    <w:rsid w:val="00FE34DC"/>
    <w:rsid w:val="00FF3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04D3E"/>
  <w15:chartTrackingRefBased/>
  <w15:docId w15:val="{E9DDF17A-D8DC-4884-AA0C-8FB43BA6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z w:val="22"/>
      <w:lang w:eastAsia="zh-CN"/>
    </w:rPr>
  </w:style>
  <w:style w:type="paragraph" w:styleId="Heading1">
    <w:name w:val="heading 1"/>
    <w:basedOn w:val="Normal"/>
    <w:next w:val="Normal"/>
    <w:qFormat/>
    <w:pPr>
      <w:keepNext/>
      <w:numPr>
        <w:numId w:val="1"/>
      </w:numPr>
      <w:tabs>
        <w:tab w:val="left" w:pos="0"/>
      </w:tabs>
      <w:spacing w:before="240" w:after="60"/>
      <w:outlineLvl w:val="0"/>
    </w:pPr>
    <w:rPr>
      <w:b/>
      <w:kern w:val="28"/>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reekpunten">
    <w:name w:val="Spreekpunten"/>
    <w:basedOn w:val="Normal"/>
    <w:pPr>
      <w:numPr>
        <w:numId w:val="2"/>
      </w:numPr>
      <w:spacing w:line="360" w:lineRule="auto"/>
    </w:pPr>
    <w:rPr>
      <w:bCs/>
      <w:sz w:val="28"/>
      <w:lang w:val="en-GB" w:eastAsia="nl-NL"/>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2"/>
      <w:lang w:val="nl-NL" w:eastAsia="zh-CN" w:bidi="ar-SA"/>
    </w:rPr>
  </w:style>
  <w:style w:type="paragraph" w:styleId="FootnoteText">
    <w:name w:val="footnote text"/>
    <w:basedOn w:val="Normal"/>
    <w:semiHidden/>
    <w:pPr>
      <w:spacing w:line="240" w:lineRule="atLeast"/>
      <w:ind w:left="1298" w:hanging="1298"/>
    </w:pPr>
    <w:rPr>
      <w:sz w:val="16"/>
    </w:rPr>
  </w:style>
  <w:style w:type="character" w:styleId="FootnoteReference">
    <w:name w:val="footnote reference"/>
    <w:semiHidden/>
    <w:rPr>
      <w:vertAlign w:val="superscript"/>
    </w:rPr>
  </w:style>
  <w:style w:type="paragraph" w:styleId="BodyText">
    <w:name w:val="Body Text"/>
    <w:basedOn w:val="Normal"/>
    <w:pPr>
      <w:spacing w:line="280" w:lineRule="exact"/>
      <w:jc w:val="both"/>
    </w:pPr>
    <w:rPr>
      <w:snapToGrid w:val="0"/>
      <w:lang w:val="en-US" w:eastAsia="en-US"/>
    </w:rPr>
  </w:style>
  <w:style w:type="paragraph" w:styleId="BodyText2">
    <w:name w:val="Body Text 2"/>
    <w:basedOn w:val="Normal"/>
    <w:pPr>
      <w:spacing w:line="240" w:lineRule="auto"/>
      <w:jc w:val="both"/>
    </w:pPr>
    <w:rPr>
      <w:snapToGrid w:val="0"/>
      <w:color w:val="000000"/>
      <w:sz w:val="24"/>
      <w:lang w:eastAsia="nl-N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paragraph" w:styleId="ListParagraph">
    <w:name w:val="List Paragraph"/>
    <w:basedOn w:val="Normal"/>
    <w:uiPriority w:val="34"/>
    <w:qFormat/>
    <w:rsid w:val="00F74E07"/>
    <w:pPr>
      <w:ind w:left="720"/>
    </w:pPr>
  </w:style>
  <w:style w:type="paragraph" w:styleId="Revision">
    <w:name w:val="Revision"/>
    <w:hidden/>
    <w:uiPriority w:val="99"/>
    <w:semiHidden/>
    <w:rsid w:val="003144FD"/>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9688">
      <w:bodyDiv w:val="1"/>
      <w:marLeft w:val="0"/>
      <w:marRight w:val="0"/>
      <w:marTop w:val="0"/>
      <w:marBottom w:val="0"/>
      <w:divBdr>
        <w:top w:val="none" w:sz="0" w:space="0" w:color="auto"/>
        <w:left w:val="none" w:sz="0" w:space="0" w:color="auto"/>
        <w:bottom w:val="none" w:sz="0" w:space="0" w:color="auto"/>
        <w:right w:val="none" w:sz="0" w:space="0" w:color="auto"/>
      </w:divBdr>
    </w:div>
    <w:div w:id="4568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NL/TXT/?uri=celex%3A52020PC057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3534A91252394A9474E38D787ECCFA" ma:contentTypeVersion="0" ma:contentTypeDescription="Een nieuw document maken." ma:contentTypeScope="" ma:versionID="4ce0042a4bab503e7e3607bc7376287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Foxy document" ma:contentTypeID="0x0101009FFE7A2FBA144D4699EC54818DF680F200E784832140D0B14285CD940860F5764F" ma:contentTypeVersion="3" ma:contentTypeDescription="Nieuw document" ma:contentTypeScope="" ma:versionID="cf432d5f8ae8784328722beea2466613">
  <xsd:schema xmlns:xsd="http://www.w3.org/2001/XMLSchema" xmlns:xs="http://www.w3.org/2001/XMLSchema" xmlns:p="http://schemas.microsoft.com/office/2006/metadata/properties" xmlns:ns2="1c727949-153c-4c2f-b9b8-0768cf3d3263" xmlns:ns3="a968f643-972d-4667-9c7d-fd76f2567ee3" targetNamespace="http://schemas.microsoft.com/office/2006/metadata/properties" ma:root="true" ma:fieldsID="a4638680193794d54330cd36dc123649" ns2:_="" ns3:_="">
    <xsd:import namespace="1c727949-153c-4c2f-b9b8-0768cf3d3263"/>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27949-153c-4c2f-b9b8-0768cf3d32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30D1-A094-420E-9112-E4A205CD093D}">
  <ds:schemaRefs>
    <ds:schemaRef ds:uri="http://schemas.microsoft.com/office/2006/metadata/longProperties"/>
  </ds:schemaRefs>
</ds:datastoreItem>
</file>

<file path=customXml/itemProps2.xml><?xml version="1.0" encoding="utf-8"?>
<ds:datastoreItem xmlns:ds="http://schemas.openxmlformats.org/officeDocument/2006/customXml" ds:itemID="{17984F5C-EF3C-4E5A-BCC3-009339832C2C}">
  <ds:schemaRefs>
    <ds:schemaRef ds:uri="http://schemas.microsoft.com/sharepoint/v3/contenttype/forms"/>
  </ds:schemaRefs>
</ds:datastoreItem>
</file>

<file path=customXml/itemProps3.xml><?xml version="1.0" encoding="utf-8"?>
<ds:datastoreItem xmlns:ds="http://schemas.openxmlformats.org/officeDocument/2006/customXml" ds:itemID="{8542A671-DD5B-4564-8CBB-80A133907999}"/>
</file>

<file path=customXml/itemProps4.xml><?xml version="1.0" encoding="utf-8"?>
<ds:datastoreItem xmlns:ds="http://schemas.openxmlformats.org/officeDocument/2006/customXml" ds:itemID="{1A936ABD-17FC-4462-82E1-756284EA29E6}">
  <ds:schemaRefs>
    <ds:schemaRef ds:uri="http://schemas.microsoft.com/office/2006/documentManagement/types"/>
    <ds:schemaRef ds:uri="http://schemas.microsoft.com/office/infopath/2007/PartnerControls"/>
    <ds:schemaRef ds:uri="a968f643-972d-4667-9c7d-fd76f2567ee3"/>
    <ds:schemaRef ds:uri="http://purl.org/dc/elements/1.1/"/>
    <ds:schemaRef ds:uri="http://schemas.microsoft.com/office/2006/metadata/properties"/>
    <ds:schemaRef ds:uri="1c727949-153c-4c2f-b9b8-0768cf3d326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17D7C41-8BD3-48E5-B1D7-4894E64BB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27949-153c-4c2f-b9b8-0768cf3d3263"/>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4946D5-7591-46AD-A576-317FA636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3405</Words>
  <Characters>18729</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Toelichting invullen fiche mededeling</vt:lpstr>
      <vt:lpstr>Toelichting invullen fiche mededeling</vt:lpstr>
    </vt:vector>
  </TitlesOfParts>
  <Company>Min. van Buitenlandse Zaken</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invullen fiche mededeling</dc:title>
  <dc:subject/>
  <dc:creator>Aker, E.C. van den</dc:creator>
  <cp:keywords/>
  <dc:description/>
  <cp:lastModifiedBy>Dogan, Zerin</cp:lastModifiedBy>
  <cp:revision>2</cp:revision>
  <cp:lastPrinted>2018-06-04T09:19:00Z</cp:lastPrinted>
  <dcterms:created xsi:type="dcterms:W3CDTF">2020-11-06T15:28:00Z</dcterms:created>
  <dcterms:modified xsi:type="dcterms:W3CDTF">2020-11-06T15:28:00Z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Z_Forum">
    <vt:lpwstr>3;#EU|4d8f9873-61b3-4ee5-b6f7-0bb00c6df5e8</vt:lpwstr>
  </property>
  <property fmtid="{D5CDD505-2E9C-101B-9397-08002B2CF9AE}" pid="4" name="BZ_Classification">
    <vt:lpwstr>4;#Unclassified|d92c6340-bc14-4cb2-a9a6-6deda93c493b</vt:lpwstr>
  </property>
  <property fmtid="{D5CDD505-2E9C-101B-9397-08002B2CF9AE}" pid="5" name="BZ_Country">
    <vt:lpwstr>2;#Not applicable|ec01d90b-9d0f-4785-8785-e1ea615196bf</vt:lpwstr>
  </property>
  <property fmtid="{D5CDD505-2E9C-101B-9397-08002B2CF9AE}" pid="6" name="BZ_Theme">
    <vt:lpwstr>1;#European cooperation (non-EU) general|32cb20cb-36c6-4655-9372-780089c6b4ef</vt:lpwstr>
  </property>
  <property fmtid="{D5CDD505-2E9C-101B-9397-08002B2CF9AE}" pid="7" name="ContentTypeId">
    <vt:lpwstr>0x010100313534A91252394A9474E38D787ECCFA</vt:lpwstr>
  </property>
  <property fmtid="{D5CDD505-2E9C-101B-9397-08002B2CF9AE}" pid="8" name="_dlc_DocIdItemGuid">
    <vt:lpwstr>870fc004-d302-43e7-bca6-dbe63a390930</vt:lpwstr>
  </property>
  <property fmtid="{D5CDD505-2E9C-101B-9397-08002B2CF9AE}" pid="9" name="_docset_NoMedatataSyncRequired">
    <vt:lpwstr>False</vt:lpwstr>
  </property>
</Properties>
</file>